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F2C08">
      <w:pPr>
        <w:pStyle w:val="3"/>
        <w:adjustRightInd w:val="0"/>
        <w:snapToGrid w:val="0"/>
        <w:spacing w:before="156" w:beforeLines="50" w:line="360" w:lineRule="auto"/>
        <w:jc w:val="center"/>
        <w:outlineLvl w:val="1"/>
        <w:rPr>
          <w:rFonts w:hint="eastAsia" w:ascii="黑体" w:hAnsi="黑体" w:eastAsia="黑体" w:cs="Times New Roman"/>
          <w:kern w:val="2"/>
          <w:sz w:val="36"/>
          <w:szCs w:val="22"/>
          <w:lang w:eastAsia="zh-CN"/>
        </w:rPr>
      </w:pPr>
      <w:r>
        <w:rPr>
          <w:rFonts w:hint="eastAsia" w:ascii="黑体" w:hAnsi="黑体" w:eastAsia="黑体" w:cs="Times New Roman"/>
          <w:kern w:val="2"/>
          <w:sz w:val="36"/>
          <w:szCs w:val="22"/>
          <w:lang w:eastAsia="zh-CN"/>
        </w:rPr>
        <w:t>竞买文件</w:t>
      </w:r>
    </w:p>
    <w:p w14:paraId="15D320B4">
      <w:pPr>
        <w:widowControl/>
        <w:adjustRightInd w:val="0"/>
        <w:snapToGrid w:val="0"/>
        <w:spacing w:before="156" w:beforeLines="50" w:after="156" w:afterLines="50" w:line="360" w:lineRule="auto"/>
        <w:ind w:firstLine="1440" w:firstLineChars="450"/>
        <w:jc w:val="left"/>
        <w:rPr>
          <w:rFonts w:ascii="Calibri" w:hAnsi="Calibri" w:eastAsia="黑体" w:cs="Times New Roman"/>
          <w:kern w:val="0"/>
          <w:sz w:val="32"/>
          <w:szCs w:val="24"/>
        </w:rPr>
      </w:pPr>
    </w:p>
    <w:p w14:paraId="14DA4F0E">
      <w:pPr>
        <w:widowControl/>
        <w:adjustRightInd w:val="0"/>
        <w:snapToGrid w:val="0"/>
        <w:spacing w:before="156" w:beforeLines="50" w:after="156" w:afterLines="50" w:line="360" w:lineRule="auto"/>
        <w:ind w:firstLine="1440" w:firstLineChars="450"/>
        <w:jc w:val="left"/>
        <w:rPr>
          <w:rFonts w:ascii="Calibri" w:hAnsi="Calibri" w:eastAsia="黑体" w:cs="Times New Roman"/>
          <w:kern w:val="0"/>
          <w:sz w:val="32"/>
          <w:szCs w:val="24"/>
        </w:rPr>
      </w:pPr>
    </w:p>
    <w:p w14:paraId="447BC064">
      <w:pPr>
        <w:spacing w:line="360" w:lineRule="auto"/>
        <w:ind w:firstLine="540" w:firstLineChars="150"/>
        <w:jc w:val="center"/>
        <w:rPr>
          <w:rFonts w:hint="eastAsia" w:ascii="黑体" w:hAnsi="黑体" w:eastAsia="黑体" w:cs="Times New Roman"/>
          <w:kern w:val="0"/>
          <w:sz w:val="36"/>
          <w:szCs w:val="24"/>
        </w:rPr>
      </w:pPr>
      <w:r>
        <w:rPr>
          <w:rFonts w:ascii="黑体" w:hAnsi="黑体" w:eastAsia="黑体" w:cs="Times New Roman"/>
          <w:sz w:val="36"/>
        </w:rPr>
        <w:t>项目名称：</w:t>
      </w:r>
      <w:r>
        <w:rPr>
          <w:rFonts w:hint="eastAsia" w:ascii="黑体" w:hAnsi="黑体" w:eastAsia="黑体" w:cs="Times New Roman"/>
          <w:sz w:val="36"/>
        </w:rPr>
        <w:t>中石化湖南石油化工有限公司位于岳阳市炼油二部构筑物、设备类资产</w:t>
      </w:r>
    </w:p>
    <w:p w14:paraId="3B507356">
      <w:pPr>
        <w:widowControl/>
        <w:adjustRightInd w:val="0"/>
        <w:snapToGrid w:val="0"/>
        <w:spacing w:before="156" w:beforeLines="50" w:after="156" w:afterLines="50" w:line="360" w:lineRule="auto"/>
        <w:ind w:left="2340" w:hanging="2340" w:hangingChars="650"/>
        <w:jc w:val="center"/>
        <w:rPr>
          <w:rFonts w:hint="eastAsia" w:ascii="黑体" w:hAnsi="黑体" w:eastAsia="黑体" w:cs="Times New Roman"/>
          <w:kern w:val="0"/>
          <w:sz w:val="36"/>
          <w:szCs w:val="24"/>
          <w:u w:val="single"/>
        </w:rPr>
      </w:pPr>
      <w:r>
        <w:rPr>
          <w:rFonts w:hint="eastAsia" w:ascii="黑体" w:hAnsi="黑体" w:eastAsia="黑体" w:cs="Times New Roman"/>
          <w:kern w:val="0"/>
          <w:sz w:val="36"/>
          <w:szCs w:val="24"/>
        </w:rPr>
        <w:t>意向竞买人名称（盖章）</w:t>
      </w:r>
      <w:r>
        <w:rPr>
          <w:rFonts w:ascii="黑体" w:hAnsi="黑体" w:eastAsia="黑体" w:cs="Times New Roman"/>
          <w:kern w:val="0"/>
          <w:sz w:val="36"/>
          <w:szCs w:val="24"/>
        </w:rPr>
        <w:t>：</w:t>
      </w:r>
    </w:p>
    <w:p w14:paraId="0629E070">
      <w:pPr>
        <w:widowControl/>
        <w:adjustRightInd w:val="0"/>
        <w:snapToGrid w:val="0"/>
        <w:spacing w:before="156" w:beforeLines="50" w:after="156" w:afterLines="50" w:line="360" w:lineRule="auto"/>
        <w:jc w:val="left"/>
        <w:rPr>
          <w:rFonts w:hint="eastAsia" w:ascii="黑体" w:hAnsi="黑体" w:eastAsia="黑体" w:cs="Times New Roman"/>
          <w:kern w:val="0"/>
          <w:sz w:val="36"/>
          <w:szCs w:val="24"/>
        </w:rPr>
      </w:pPr>
    </w:p>
    <w:p w14:paraId="6A296DED">
      <w:pPr>
        <w:widowControl/>
        <w:adjustRightInd w:val="0"/>
        <w:snapToGrid w:val="0"/>
        <w:spacing w:before="156" w:beforeLines="50" w:after="156" w:afterLines="50" w:line="360" w:lineRule="auto"/>
        <w:jc w:val="left"/>
        <w:rPr>
          <w:rFonts w:hint="eastAsia" w:ascii="黑体" w:hAnsi="黑体" w:eastAsia="黑体" w:cs="Times New Roman"/>
          <w:kern w:val="0"/>
          <w:sz w:val="36"/>
          <w:szCs w:val="24"/>
        </w:rPr>
      </w:pPr>
      <w:r>
        <w:rPr>
          <w:rFonts w:ascii="黑体" w:hAnsi="黑体" w:eastAsia="黑体" w:cs="Times New Roman"/>
          <w:kern w:val="0"/>
          <w:sz w:val="36"/>
          <w:szCs w:val="24"/>
        </w:rPr>
        <w:t>法 定 代 表 人</w:t>
      </w:r>
    </w:p>
    <w:p w14:paraId="3468AAEB">
      <w:pPr>
        <w:widowControl/>
        <w:adjustRightInd w:val="0"/>
        <w:snapToGrid w:val="0"/>
        <w:spacing w:before="156" w:beforeLines="50" w:after="156" w:afterLines="50" w:line="360" w:lineRule="auto"/>
        <w:jc w:val="left"/>
        <w:rPr>
          <w:rFonts w:hint="eastAsia" w:ascii="黑体" w:hAnsi="黑体" w:eastAsia="黑体" w:cs="Times New Roman"/>
          <w:kern w:val="0"/>
          <w:sz w:val="36"/>
          <w:szCs w:val="24"/>
          <w:u w:val="single"/>
        </w:rPr>
      </w:pPr>
      <w:r>
        <w:rPr>
          <w:rFonts w:ascii="黑体" w:hAnsi="黑体" w:eastAsia="黑体" w:cs="Times New Roman"/>
          <w:kern w:val="0"/>
          <w:sz w:val="36"/>
          <w:szCs w:val="24"/>
        </w:rPr>
        <w:t>或</w:t>
      </w:r>
      <w:r>
        <w:rPr>
          <w:rFonts w:hint="eastAsia" w:ascii="黑体" w:hAnsi="黑体" w:eastAsia="黑体" w:cs="Times New Roman"/>
          <w:kern w:val="0"/>
          <w:sz w:val="36"/>
          <w:szCs w:val="24"/>
        </w:rPr>
        <w:t>其授权代表</w:t>
      </w:r>
      <w:r>
        <w:rPr>
          <w:rFonts w:ascii="黑体" w:hAnsi="黑体" w:eastAsia="黑体" w:cs="Times New Roman"/>
          <w:kern w:val="0"/>
          <w:sz w:val="36"/>
          <w:szCs w:val="24"/>
        </w:rPr>
        <w:t>人（签</w:t>
      </w:r>
      <w:r>
        <w:rPr>
          <w:rFonts w:hint="eastAsia" w:ascii="黑体" w:hAnsi="黑体" w:eastAsia="黑体" w:cs="Times New Roman"/>
          <w:kern w:val="0"/>
          <w:sz w:val="36"/>
          <w:szCs w:val="24"/>
        </w:rPr>
        <w:t>字</w:t>
      </w:r>
      <w:r>
        <w:rPr>
          <w:rFonts w:ascii="黑体" w:hAnsi="黑体" w:eastAsia="黑体" w:cs="Times New Roman"/>
          <w:kern w:val="0"/>
          <w:sz w:val="36"/>
          <w:szCs w:val="24"/>
        </w:rPr>
        <w:t>）：</w:t>
      </w:r>
    </w:p>
    <w:p w14:paraId="4C488A51">
      <w:pPr>
        <w:widowControl/>
        <w:adjustRightInd w:val="0"/>
        <w:snapToGrid w:val="0"/>
        <w:spacing w:before="156" w:beforeLines="50" w:after="120" w:line="360" w:lineRule="auto"/>
        <w:jc w:val="center"/>
        <w:rPr>
          <w:rFonts w:ascii="Calibri" w:hAnsi="Calibri" w:eastAsia="黑体" w:cs="Times New Roman"/>
          <w:kern w:val="0"/>
          <w:sz w:val="32"/>
          <w:szCs w:val="24"/>
        </w:rPr>
      </w:pPr>
    </w:p>
    <w:p w14:paraId="7CB5B5A5">
      <w:pPr>
        <w:widowControl/>
        <w:adjustRightInd w:val="0"/>
        <w:snapToGrid w:val="0"/>
        <w:spacing w:before="156" w:beforeLines="50" w:after="120" w:line="360" w:lineRule="auto"/>
        <w:jc w:val="center"/>
        <w:rPr>
          <w:rFonts w:ascii="Calibri" w:hAnsi="Calibri" w:eastAsia="黑体" w:cs="Times New Roman"/>
          <w:kern w:val="0"/>
          <w:sz w:val="32"/>
          <w:szCs w:val="24"/>
        </w:rPr>
      </w:pPr>
      <w:r>
        <w:rPr>
          <w:rFonts w:ascii="Calibri" w:hAnsi="Calibri" w:eastAsia="黑体" w:cs="Times New Roman"/>
          <w:kern w:val="0"/>
          <w:sz w:val="32"/>
          <w:szCs w:val="24"/>
        </w:rPr>
        <w:t>日期：</w:t>
      </w:r>
      <w:r>
        <w:rPr>
          <w:rFonts w:hint="eastAsia" w:ascii="Calibri" w:hAnsi="Calibri" w:eastAsia="黑体" w:cs="Times New Roman"/>
          <w:kern w:val="0"/>
          <w:sz w:val="32"/>
          <w:szCs w:val="24"/>
        </w:rPr>
        <w:t>202</w:t>
      </w:r>
      <w:r>
        <w:rPr>
          <w:rFonts w:hint="eastAsia" w:ascii="Calibri" w:hAnsi="Calibri" w:eastAsia="黑体" w:cs="Times New Roman"/>
          <w:kern w:val="0"/>
          <w:sz w:val="32"/>
          <w:szCs w:val="24"/>
          <w:lang w:val="en-US" w:eastAsia="zh-CN"/>
        </w:rPr>
        <w:t>6</w:t>
      </w:r>
      <w:r>
        <w:rPr>
          <w:rFonts w:ascii="Calibri" w:hAnsi="Calibri" w:eastAsia="黑体" w:cs="Times New Roman"/>
          <w:kern w:val="0"/>
          <w:sz w:val="32"/>
          <w:szCs w:val="24"/>
        </w:rPr>
        <w:t>年</w:t>
      </w:r>
      <w:r>
        <w:rPr>
          <w:rFonts w:hint="eastAsia" w:ascii="Calibri" w:hAnsi="Calibri" w:eastAsia="黑体" w:cs="Times New Roman"/>
          <w:kern w:val="0"/>
          <w:sz w:val="32"/>
          <w:szCs w:val="24"/>
          <w:lang w:val="en-US" w:eastAsia="zh-CN"/>
        </w:rPr>
        <w:t>5</w:t>
      </w:r>
      <w:r>
        <w:rPr>
          <w:rFonts w:ascii="Calibri" w:hAnsi="Calibri" w:eastAsia="黑体" w:cs="Times New Roman"/>
          <w:kern w:val="0"/>
          <w:sz w:val="32"/>
          <w:szCs w:val="24"/>
        </w:rPr>
        <w:t>月</w:t>
      </w:r>
    </w:p>
    <w:p w14:paraId="717E8F19">
      <w:pPr>
        <w:widowControl/>
        <w:tabs>
          <w:tab w:val="left" w:pos="1226"/>
        </w:tabs>
        <w:spacing w:line="360" w:lineRule="auto"/>
        <w:jc w:val="left"/>
        <w:sectPr>
          <w:pgSz w:w="11906" w:h="16838"/>
          <w:pgMar w:top="2064" w:right="1474" w:bottom="1848" w:left="1587" w:header="851" w:footer="992" w:gutter="0"/>
          <w:cols w:space="425" w:num="1"/>
          <w:docGrid w:type="lines" w:linePitch="312" w:charSpace="0"/>
        </w:sectPr>
      </w:pPr>
    </w:p>
    <w:p w14:paraId="3F81E322">
      <w:pPr>
        <w:pStyle w:val="3"/>
        <w:adjustRightInd w:val="0"/>
        <w:snapToGrid w:val="0"/>
        <w:spacing w:before="156" w:beforeLines="50" w:line="360" w:lineRule="auto"/>
        <w:jc w:val="center"/>
        <w:outlineLvl w:val="1"/>
        <w:rPr>
          <w:rFonts w:hint="eastAsia" w:ascii="宋体" w:hAnsi="宋体"/>
          <w:b/>
          <w:lang w:eastAsia="zh-CN"/>
        </w:rPr>
      </w:pPr>
      <w:r>
        <w:rPr>
          <w:rFonts w:hint="eastAsia" w:ascii="宋体" w:hAnsi="宋体"/>
          <w:b/>
          <w:lang w:eastAsia="zh-CN"/>
        </w:rPr>
        <w:t>承诺函</w:t>
      </w:r>
    </w:p>
    <w:p w14:paraId="766EAD00">
      <w:pPr>
        <w:pStyle w:val="3"/>
        <w:adjustRightInd w:val="0"/>
        <w:snapToGrid w:val="0"/>
        <w:spacing w:before="156" w:beforeLines="50"/>
        <w:rPr>
          <w:rFonts w:hint="eastAsia" w:ascii="宋体" w:hAnsi="宋体"/>
          <w:b/>
          <w:lang w:eastAsia="zh-CN"/>
        </w:rPr>
      </w:pPr>
      <w:r>
        <w:rPr>
          <w:rFonts w:hint="eastAsia" w:ascii="宋体" w:hAnsi="宋体"/>
          <w:b/>
          <w:lang w:eastAsia="zh-CN"/>
        </w:rPr>
        <w:t>致：中石化湖南石油化工有限公司：</w:t>
      </w:r>
    </w:p>
    <w:p w14:paraId="55983CED">
      <w:pPr>
        <w:pStyle w:val="3"/>
        <w:adjustRightInd w:val="0"/>
        <w:snapToGrid w:val="0"/>
        <w:spacing w:before="156" w:beforeLines="50"/>
        <w:rPr>
          <w:rFonts w:hint="eastAsia" w:ascii="仿宋_GB2312" w:hAnsi="仿宋_GB2312" w:eastAsia="仿宋_GB2312" w:cs="仿宋_GB2312"/>
          <w:b/>
          <w:sz w:val="32"/>
          <w:szCs w:val="32"/>
          <w:lang w:eastAsia="zh-CN"/>
        </w:rPr>
      </w:pPr>
      <w:r>
        <w:rPr>
          <w:rFonts w:hint="eastAsia" w:ascii="宋体" w:hAnsi="宋体"/>
          <w:b/>
          <w:lang w:eastAsia="zh-CN"/>
        </w:rPr>
        <w:t>拍拍在线（北京）拍卖有限公司</w:t>
      </w:r>
      <w:r>
        <w:rPr>
          <w:rFonts w:hint="eastAsia" w:ascii="仿宋_GB2312" w:hAnsi="仿宋_GB2312" w:eastAsia="仿宋_GB2312" w:cs="仿宋_GB2312"/>
          <w:b/>
          <w:sz w:val="32"/>
          <w:szCs w:val="32"/>
          <w:lang w:eastAsia="zh-CN"/>
        </w:rPr>
        <w:t>：</w:t>
      </w:r>
    </w:p>
    <w:p w14:paraId="50051A6F">
      <w:pPr>
        <w:pStyle w:val="7"/>
        <w:widowControl/>
        <w:shd w:val="clear" w:color="auto" w:fill="FFFFFF"/>
        <w:ind w:firstLine="463"/>
        <w:jc w:val="left"/>
        <w:rPr>
          <w:rFonts w:hint="eastAsia" w:ascii="宋体" w:hAnsi="宋体" w:cstheme="minorBidi"/>
        </w:rPr>
      </w:pPr>
      <w:r>
        <w:rPr>
          <w:rFonts w:hint="eastAsia" w:ascii="宋体" w:hAnsi="宋体" w:cstheme="minorBidi"/>
        </w:rPr>
        <w:t>中石化湖南石油化工有限公司位于岳阳市炼油二部构筑物、设备类资产（以下简称“标的资产”）网络拍卖竞价活动，本方同意如下：</w:t>
      </w:r>
    </w:p>
    <w:p w14:paraId="312B7AFF">
      <w:pPr>
        <w:pStyle w:val="7"/>
        <w:widowControl/>
        <w:shd w:val="clear" w:color="auto" w:fill="FFFFFF"/>
        <w:ind w:firstLine="463"/>
        <w:jc w:val="left"/>
        <w:rPr>
          <w:rFonts w:hint="eastAsia" w:ascii="宋体" w:hAnsi="宋体" w:cstheme="minorBidi"/>
        </w:rPr>
      </w:pPr>
      <w:r>
        <w:rPr>
          <w:rFonts w:hint="eastAsia" w:ascii="宋体" w:hAnsi="宋体" w:cstheme="minorBidi"/>
        </w:rPr>
        <w:t>1.我方已进行并完成针对本项目标的的尽职勘验工作，充分了解并接受标的资产公告信息的全部内容和要求。所涉及标的资产严格以现场实物状态进行交易。我方办理竞价登记手续即视为对标的现状的充分了解与认可。</w:t>
      </w:r>
    </w:p>
    <w:p w14:paraId="0EB8C73D">
      <w:pPr>
        <w:pStyle w:val="7"/>
        <w:widowControl/>
        <w:shd w:val="clear" w:color="auto" w:fill="FFFFFF"/>
        <w:ind w:firstLine="463"/>
        <w:jc w:val="left"/>
        <w:rPr>
          <w:rFonts w:hint="eastAsia" w:ascii="宋体" w:hAnsi="宋体" w:cstheme="minorBidi"/>
        </w:rPr>
      </w:pPr>
      <w:r>
        <w:rPr>
          <w:rFonts w:hint="eastAsia" w:ascii="宋体" w:hAnsi="宋体" w:cstheme="minorBidi"/>
        </w:rPr>
        <w:t>2.出现下列情况之一者，我方自愿被扣除已交纳的交易保证金并承担相应违约责任：</w:t>
      </w:r>
      <w:bookmarkStart w:id="0" w:name="_Hlt36897317"/>
      <w:bookmarkEnd w:id="0"/>
      <w:r>
        <w:rPr>
          <w:rFonts w:hint="eastAsia" w:ascii="宋体" w:hAnsi="宋体" w:cstheme="minorBidi"/>
        </w:rPr>
        <w:t>①经合规程序被确定为最终买受人后未能按时签订相关《资产交易合同》的（以转让方提供为准）；②进入网络拍卖的竞价程序，如所有竞买人均无应价的；③《竞买须知及规则》中规定的竞买人违约的其他情况。</w:t>
      </w:r>
    </w:p>
    <w:p w14:paraId="665D853C">
      <w:pPr>
        <w:pStyle w:val="7"/>
        <w:widowControl/>
        <w:shd w:val="clear" w:color="auto" w:fill="FFFFFF"/>
        <w:ind w:firstLine="463"/>
        <w:jc w:val="left"/>
        <w:rPr>
          <w:rFonts w:hint="eastAsia" w:ascii="宋体" w:hAnsi="宋体" w:cstheme="minorBidi"/>
        </w:rPr>
      </w:pPr>
      <w:r>
        <w:rPr>
          <w:rFonts w:hint="eastAsia" w:ascii="宋体" w:hAnsi="宋体" w:cstheme="minorBidi"/>
        </w:rPr>
        <w:t>3.我方同意，发生违约行为，无条件同意转让方收回标的再行处置。</w:t>
      </w:r>
    </w:p>
    <w:p w14:paraId="453AADAD">
      <w:pPr>
        <w:pStyle w:val="7"/>
        <w:widowControl/>
        <w:shd w:val="clear" w:color="auto" w:fill="FFFFFF"/>
        <w:ind w:firstLine="463"/>
        <w:jc w:val="left"/>
        <w:rPr>
          <w:rFonts w:hint="eastAsia" w:ascii="宋体" w:hAnsi="宋体" w:cstheme="minorBidi"/>
        </w:rPr>
      </w:pPr>
      <w:r>
        <w:rPr>
          <w:rFonts w:hint="eastAsia" w:ascii="宋体" w:hAnsi="宋体" w:cstheme="minorBidi"/>
        </w:rPr>
        <w:t>4.我方同意，我方被确定为买受人后，因本方原因未履行《竞买须知及规则》规定而违约时，仍交纳本次交易中买受人应当支付的拍卖佣金。</w:t>
      </w:r>
    </w:p>
    <w:p w14:paraId="15A50529">
      <w:pPr>
        <w:pStyle w:val="7"/>
        <w:widowControl/>
        <w:shd w:val="clear" w:color="auto" w:fill="FFFFFF"/>
        <w:ind w:firstLine="463"/>
        <w:jc w:val="left"/>
        <w:rPr>
          <w:rFonts w:hint="eastAsia" w:ascii="宋体" w:hAnsi="宋体" w:cstheme="minorBidi"/>
        </w:rPr>
      </w:pPr>
      <w:bookmarkStart w:id="1" w:name="_Toc487410356"/>
    </w:p>
    <w:p w14:paraId="616B9A9E">
      <w:pPr>
        <w:pStyle w:val="7"/>
        <w:widowControl/>
        <w:shd w:val="clear" w:color="auto" w:fill="FFFFFF"/>
        <w:ind w:firstLine="463"/>
        <w:jc w:val="left"/>
        <w:rPr>
          <w:rFonts w:hint="eastAsia" w:ascii="宋体" w:hAnsi="宋体" w:cstheme="minorBidi"/>
        </w:rPr>
      </w:pPr>
    </w:p>
    <w:p w14:paraId="78E2718B">
      <w:pPr>
        <w:pStyle w:val="7"/>
        <w:widowControl/>
        <w:shd w:val="clear" w:color="auto" w:fill="FFFFFF"/>
        <w:ind w:firstLine="463"/>
        <w:jc w:val="left"/>
        <w:rPr>
          <w:rFonts w:hint="eastAsia" w:ascii="宋体" w:hAnsi="宋体" w:cstheme="minorBidi"/>
        </w:rPr>
      </w:pPr>
    </w:p>
    <w:p w14:paraId="43D21A80">
      <w:pPr>
        <w:pStyle w:val="7"/>
        <w:widowControl/>
        <w:shd w:val="clear" w:color="auto" w:fill="FFFFFF"/>
        <w:ind w:firstLine="463"/>
        <w:jc w:val="left"/>
        <w:rPr>
          <w:rFonts w:hint="eastAsia" w:ascii="宋体" w:hAnsi="宋体" w:cstheme="minorBidi"/>
        </w:rPr>
      </w:pPr>
      <w:r>
        <w:rPr>
          <w:rFonts w:hint="eastAsia" w:ascii="宋体" w:hAnsi="宋体" w:cstheme="minorBidi"/>
        </w:rPr>
        <w:t>竞买人（签字并盖章）：</w:t>
      </w:r>
    </w:p>
    <w:p w14:paraId="010F55C2">
      <w:pPr>
        <w:spacing w:line="360" w:lineRule="auto"/>
        <w:rPr>
          <w:rFonts w:hint="eastAsia" w:ascii="仿宋_GB2312" w:hAnsi="仿宋_GB2312" w:eastAsia="仿宋_GB2312" w:cs="仿宋_GB2312"/>
          <w:b/>
          <w:color w:val="000000"/>
          <w:sz w:val="32"/>
          <w:szCs w:val="32"/>
        </w:rPr>
      </w:pPr>
    </w:p>
    <w:p w14:paraId="5F685FAB">
      <w:pPr>
        <w:spacing w:line="360" w:lineRule="auto"/>
        <w:rPr>
          <w:rFonts w:hint="eastAsia" w:ascii="仿宋_GB2312" w:hAnsi="仿宋_GB2312" w:eastAsia="仿宋_GB2312" w:cs="仿宋_GB2312"/>
          <w:b/>
          <w:color w:val="000000"/>
          <w:sz w:val="32"/>
          <w:szCs w:val="32"/>
        </w:rPr>
      </w:pPr>
    </w:p>
    <w:p w14:paraId="494D71BA">
      <w:pPr>
        <w:spacing w:line="360" w:lineRule="auto"/>
        <w:rPr>
          <w:rFonts w:hint="eastAsia" w:ascii="仿宋_GB2312" w:hAnsi="仿宋_GB2312" w:eastAsia="仿宋_GB2312" w:cs="仿宋_GB2312"/>
          <w:b/>
          <w:color w:val="000000"/>
          <w:sz w:val="32"/>
          <w:szCs w:val="32"/>
        </w:rPr>
      </w:pPr>
    </w:p>
    <w:p w14:paraId="64AD82C0">
      <w:pPr>
        <w:pStyle w:val="24"/>
        <w:jc w:val="center"/>
        <w:rPr>
          <w:rFonts w:ascii="Tahoma" w:hAnsi="Tahoma" w:cs="Tahoma"/>
          <w:b/>
          <w:color w:val="000000"/>
          <w:sz w:val="24"/>
          <w:szCs w:val="24"/>
        </w:rPr>
      </w:pPr>
      <w:r>
        <w:rPr>
          <w:rFonts w:hint="eastAsia" w:ascii="Tahoma" w:hAnsi="Tahoma" w:cs="Tahoma"/>
          <w:b/>
          <w:color w:val="000000"/>
          <w:sz w:val="24"/>
          <w:szCs w:val="24"/>
        </w:rPr>
        <w:t>竞买须知及规则</w:t>
      </w:r>
    </w:p>
    <w:p w14:paraId="14EAB2CE">
      <w:pPr>
        <w:pStyle w:val="7"/>
        <w:widowControl/>
        <w:shd w:val="clear" w:color="auto" w:fill="FFFFFF"/>
        <w:ind w:firstLine="463"/>
        <w:jc w:val="left"/>
        <w:rPr>
          <w:rFonts w:hint="eastAsia" w:ascii="宋体" w:hAnsi="宋体" w:cstheme="minorBidi"/>
        </w:rPr>
      </w:pPr>
      <w:r>
        <w:rPr>
          <w:rFonts w:hint="eastAsia" w:ascii="宋体" w:hAnsi="宋体" w:cstheme="minorBidi"/>
        </w:rPr>
        <w:t xml:space="preserve">本公司受委托人:中石化湖南石油化工有限公司委托在http://www.ppzxchina.cn以网络竞价方式处置中石化湖南石油化工有限公司位于岳阳市炼油二部构筑物、设备类资产，为切实保障拍卖当事人的权利和义务，根据《中华人民共和国民法典》、《中华人民共和国拍卖法》、《中国人民共和国电子商务法》等法律法规，本着公开、公平、公正、诚实信用的原则，特制定本须知及规则，共同遵守。 </w:t>
      </w:r>
    </w:p>
    <w:p w14:paraId="61992E94">
      <w:pPr>
        <w:pStyle w:val="7"/>
        <w:widowControl/>
        <w:shd w:val="clear" w:color="auto" w:fill="FFFFFF"/>
        <w:ind w:firstLine="463"/>
        <w:jc w:val="left"/>
        <w:rPr>
          <w:rFonts w:hint="eastAsia" w:ascii="宋体" w:hAnsi="宋体" w:cstheme="minorBidi"/>
        </w:rPr>
      </w:pPr>
      <w:r>
        <w:rPr>
          <w:rFonts w:hint="eastAsia" w:ascii="宋体" w:hAnsi="宋体" w:cstheme="minorBidi"/>
        </w:rPr>
        <w:t>1、本次网络竞价活动在公开、平等竞争的条件下进行，一切活动都具备法律效力。</w:t>
      </w:r>
    </w:p>
    <w:p w14:paraId="0EAF0053">
      <w:pPr>
        <w:pStyle w:val="7"/>
        <w:widowControl/>
        <w:shd w:val="clear" w:color="auto" w:fill="FFFFFF"/>
        <w:ind w:firstLine="463"/>
        <w:jc w:val="left"/>
        <w:rPr>
          <w:rFonts w:hint="eastAsia" w:ascii="宋体" w:hAnsi="宋体" w:cstheme="minorBidi"/>
        </w:rPr>
      </w:pPr>
      <w:r>
        <w:rPr>
          <w:rFonts w:hint="eastAsia" w:ascii="宋体" w:hAnsi="宋体" w:cstheme="minorBidi"/>
        </w:rPr>
        <w:t>2、竞买人条件：鉴于该项目的资产处置采取拆卖一体的形式确定最终受让方，受让方受让标的资产后需按照相关要求全权负责资产拆除工作。为保障拆卸过程中安全性、专业性等相关要求，意向受让方需满足拆除资质等相关要求。①单独受让。意向受让方具有石油化工施工总承包贰级及以上拆除资质，且经营范围包含废旧物资回收资质。②联合体受让。联合体成员不超过两家且任意一方不得重复组建联合体。须签订联合受让协议，一方具有石油化工施工总承包贰级及以上拆除资质，一方经营范围包含废旧物资回收资质。</w:t>
      </w:r>
    </w:p>
    <w:p w14:paraId="25E4AB6D">
      <w:pPr>
        <w:pStyle w:val="7"/>
        <w:widowControl/>
        <w:shd w:val="clear" w:color="auto" w:fill="FFFFFF"/>
        <w:ind w:firstLine="463"/>
        <w:jc w:val="left"/>
        <w:rPr>
          <w:rFonts w:hint="eastAsia" w:ascii="宋体" w:hAnsi="宋体" w:cstheme="minorBidi"/>
        </w:rPr>
      </w:pPr>
      <w:r>
        <w:rPr>
          <w:rFonts w:hint="eastAsia" w:ascii="宋体" w:hAnsi="宋体" w:cstheme="minorBidi"/>
        </w:rPr>
        <w:t>3、意向竞买人在2026年6月2日16时前通过电话确认方式（电话：18567746666）提出踏勘申请，收到拍拍在线（北京）拍卖有限公司回函后按规定的预展时间和要求进行现场踏勘。</w:t>
      </w:r>
    </w:p>
    <w:p w14:paraId="7AB1E87F">
      <w:pPr>
        <w:pStyle w:val="7"/>
        <w:widowControl/>
        <w:shd w:val="clear" w:color="auto" w:fill="FFFFFF"/>
        <w:ind w:firstLine="463"/>
        <w:jc w:val="left"/>
        <w:rPr>
          <w:rFonts w:hint="eastAsia" w:ascii="宋体" w:hAnsi="宋体" w:cstheme="minorBidi"/>
        </w:rPr>
      </w:pPr>
      <w:r>
        <w:rPr>
          <w:rFonts w:hint="eastAsia" w:ascii="宋体" w:hAnsi="宋体" w:cstheme="minorBidi"/>
        </w:rPr>
        <w:t>4、意向竞买人取得有效的《现场踏勘确认书》后，对标的资产有异议的，应在申请竞买前提出。竞买人报名参加竞买的，视为无异议，也即表明竞买人已全部了解约定，并愿意履行约定。委托人不作任何瑕疵担保及保证。</w:t>
      </w:r>
    </w:p>
    <w:p w14:paraId="129FD234">
      <w:pPr>
        <w:pStyle w:val="7"/>
        <w:widowControl/>
        <w:shd w:val="clear" w:color="auto" w:fill="FFFFFF"/>
        <w:ind w:firstLine="463"/>
        <w:jc w:val="left"/>
        <w:rPr>
          <w:rFonts w:hint="eastAsia" w:ascii="宋体" w:hAnsi="宋体" w:cstheme="minorBidi"/>
        </w:rPr>
      </w:pPr>
      <w:r>
        <w:rPr>
          <w:rFonts w:hint="eastAsia" w:ascii="宋体" w:hAnsi="宋体" w:cstheme="minorBidi"/>
        </w:rPr>
        <w:t>5、意向竞买人在2026年6月8日17时前完成：账号注册；上传真实有效审验通过相关要求资质证明、踏勘确认书、竞买文件，在相应竞价页面点击报名交保证金（已到账时间为准）；通过在线方式支付12万元竞买保证金获得竞买资格。</w:t>
      </w:r>
    </w:p>
    <w:p w14:paraId="7686D0ED">
      <w:pPr>
        <w:pStyle w:val="7"/>
        <w:widowControl/>
        <w:shd w:val="clear" w:color="auto" w:fill="FFFFFF"/>
        <w:ind w:firstLine="463"/>
        <w:jc w:val="left"/>
        <w:rPr>
          <w:rFonts w:hint="eastAsia" w:ascii="宋体" w:hAnsi="宋体" w:cstheme="minorBidi"/>
        </w:rPr>
      </w:pPr>
      <w:r>
        <w:rPr>
          <w:rFonts w:hint="eastAsia" w:ascii="宋体" w:hAnsi="宋体" w:cstheme="minorBidi"/>
        </w:rPr>
        <w:t>6、意向竞买人应在信息披露截止日17时前在深圳联合产权交易中心办理办竞买申请手续，意向竞买人向深圳联合产权交易中心提交竞买申请手续及相关材料、交纳保证金的行为，是对交易条件和转让底价的认可和接受。</w:t>
      </w:r>
    </w:p>
    <w:p w14:paraId="227FE02A">
      <w:pPr>
        <w:pStyle w:val="7"/>
        <w:widowControl/>
        <w:shd w:val="clear" w:color="auto" w:fill="FFFFFF"/>
        <w:ind w:firstLine="463"/>
        <w:jc w:val="left"/>
        <w:rPr>
          <w:rFonts w:hint="eastAsia" w:ascii="宋体" w:hAnsi="宋体" w:cstheme="minorBidi"/>
        </w:rPr>
      </w:pPr>
      <w:r>
        <w:rPr>
          <w:rFonts w:hint="eastAsia" w:ascii="宋体" w:hAnsi="宋体" w:cstheme="minorBidi"/>
        </w:rPr>
        <w:t>7、竞价过程中，竞买人要认真严肃地进行报价并为自己的报价行为付相应的法律责任。</w:t>
      </w:r>
    </w:p>
    <w:p w14:paraId="33BC547E">
      <w:pPr>
        <w:pStyle w:val="7"/>
        <w:widowControl/>
        <w:shd w:val="clear" w:color="auto" w:fill="FFFFFF"/>
        <w:ind w:firstLine="463"/>
        <w:jc w:val="left"/>
        <w:rPr>
          <w:rFonts w:hint="eastAsia" w:ascii="宋体" w:hAnsi="宋体" w:cstheme="minorBidi"/>
        </w:rPr>
      </w:pPr>
      <w:r>
        <w:rPr>
          <w:rFonts w:hint="eastAsia" w:ascii="宋体" w:hAnsi="宋体" w:cstheme="minorBidi"/>
        </w:rPr>
        <w:t>8、意向竞买人在限时报价期间可自由出价，进入延时报价区间后，有任意竞买人出价，时间顺延一个延时周期，在新的延时周期内没有更高出价，当前最高出价的竞买人成为本项目的买受人。</w:t>
      </w:r>
    </w:p>
    <w:p w14:paraId="749B9BE1">
      <w:pPr>
        <w:pStyle w:val="7"/>
        <w:widowControl/>
        <w:shd w:val="clear" w:color="auto" w:fill="FFFFFF"/>
        <w:ind w:firstLine="463"/>
        <w:jc w:val="left"/>
        <w:rPr>
          <w:rFonts w:hint="eastAsia" w:ascii="宋体" w:hAnsi="宋体" w:cstheme="minorBidi"/>
        </w:rPr>
      </w:pPr>
      <w:r>
        <w:rPr>
          <w:rFonts w:hint="eastAsia" w:ascii="宋体" w:hAnsi="宋体" w:cstheme="minorBidi"/>
        </w:rPr>
        <w:t>9.买受人须于拍卖成交后5个工作日内签署《拍卖笔录》、《成交确认书》、与转让方签订《实物资产交易合同》，在合同生效之日起5个工作日内将剩余交易价款、履约保证金、深圳联合产权交易中心易服务费、拍拍在线（北京）拍卖有限公司服务费一次性支付至指定账户。</w:t>
      </w:r>
    </w:p>
    <w:p w14:paraId="3391EACC">
      <w:pPr>
        <w:pStyle w:val="7"/>
        <w:widowControl/>
        <w:shd w:val="clear" w:color="auto" w:fill="FFFFFF"/>
        <w:ind w:firstLine="463"/>
        <w:jc w:val="left"/>
        <w:rPr>
          <w:rFonts w:hint="eastAsia" w:ascii="宋体" w:hAnsi="宋体" w:cstheme="minorBidi"/>
        </w:rPr>
      </w:pPr>
      <w:r>
        <w:rPr>
          <w:rFonts w:hint="eastAsia" w:ascii="宋体" w:hAnsi="宋体" w:cstheme="minorBidi"/>
        </w:rPr>
        <w:t>10、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14:paraId="2A549015">
      <w:pPr>
        <w:pStyle w:val="7"/>
        <w:widowControl/>
        <w:shd w:val="clear" w:color="auto" w:fill="FFFFFF"/>
        <w:ind w:firstLine="463"/>
        <w:jc w:val="left"/>
        <w:rPr>
          <w:rFonts w:hint="eastAsia" w:ascii="宋体" w:hAnsi="宋体" w:cstheme="minorBidi"/>
        </w:rPr>
      </w:pPr>
      <w:r>
        <w:rPr>
          <w:rFonts w:hint="eastAsia" w:ascii="宋体" w:hAnsi="宋体" w:cstheme="minorBidi"/>
        </w:rPr>
        <w:t>11、交易服务费按成交价的4%支付，交易服务费及全部成交价款在标的成交后3个工作日，通过自身账户支付至拍拍在线（北京）拍卖有限公司（以成交后短信通知的账户为准）。</w:t>
      </w:r>
    </w:p>
    <w:p w14:paraId="18DF7349">
      <w:pPr>
        <w:pStyle w:val="7"/>
        <w:widowControl/>
        <w:shd w:val="clear" w:color="auto" w:fill="FFFFFF"/>
        <w:ind w:firstLine="463"/>
        <w:jc w:val="left"/>
        <w:rPr>
          <w:rFonts w:hint="eastAsia" w:ascii="宋体" w:hAnsi="宋体" w:cstheme="minorBidi"/>
        </w:rPr>
      </w:pPr>
      <w:r>
        <w:rPr>
          <w:rFonts w:hint="eastAsia" w:ascii="宋体" w:hAnsi="宋体" w:cstheme="minorBidi"/>
        </w:rPr>
        <w:t>12、竞价结束后，未竞买成功的竞买人的保证金在竞价结束后自动自动解冻，可用于参与其他项目或申请退还至竞买人自身对公账户，个人账户中可用余额在提出申请后10个工作日内无息返还。</w:t>
      </w:r>
    </w:p>
    <w:p w14:paraId="1A25E1F0">
      <w:pPr>
        <w:pStyle w:val="7"/>
        <w:widowControl/>
        <w:shd w:val="clear" w:color="auto" w:fill="FFFFFF"/>
        <w:ind w:firstLine="463"/>
        <w:jc w:val="left"/>
        <w:rPr>
          <w:rFonts w:hint="eastAsia" w:ascii="宋体" w:hAnsi="宋体" w:cstheme="minorBidi"/>
        </w:rPr>
      </w:pPr>
      <w:r>
        <w:rPr>
          <w:rFonts w:hint="eastAsia" w:ascii="宋体" w:hAnsi="宋体" w:cstheme="minorBidi"/>
        </w:rPr>
        <w:t>13、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14:paraId="042C480A">
      <w:pPr>
        <w:pStyle w:val="7"/>
        <w:widowControl/>
        <w:shd w:val="clear" w:color="auto" w:fill="FFFFFF"/>
        <w:ind w:firstLine="463"/>
        <w:jc w:val="left"/>
        <w:rPr>
          <w:rFonts w:hint="eastAsia" w:ascii="宋体" w:hAnsi="宋体" w:cstheme="minorBidi"/>
        </w:rPr>
      </w:pPr>
      <w:r>
        <w:rPr>
          <w:rFonts w:hint="eastAsia" w:ascii="宋体" w:hAnsi="宋体" w:cstheme="minorBidi"/>
        </w:rPr>
        <w:t>14.网络拍卖过程中所涉及的时间，以网络竞价平台系统服务器时间为准。因不可抗力、软硬件故障、非法入侵、恶意攻击等原因而导致台系统异常、竞价活动中断的，网络竞价平台等网络拍卖组织方不承担任何责任。网络竞价平台将视情况组织继续报价或重新报价，并通知各竞买人。如当日无法重新启动拍卖，网络竞价平台择期另行举行网络拍卖会。继续报价或重新报价的方式如下：</w:t>
      </w:r>
    </w:p>
    <w:p w14:paraId="0D1152AB">
      <w:pPr>
        <w:pStyle w:val="7"/>
        <w:widowControl/>
        <w:shd w:val="clear" w:color="auto" w:fill="FFFFFF"/>
        <w:ind w:firstLine="463"/>
        <w:jc w:val="left"/>
        <w:rPr>
          <w:rFonts w:hint="eastAsia" w:ascii="宋体" w:hAnsi="宋体" w:cstheme="minorBidi"/>
        </w:rPr>
      </w:pPr>
      <w:r>
        <w:rPr>
          <w:rFonts w:hint="eastAsia" w:ascii="宋体" w:hAnsi="宋体" w:cstheme="minorBidi"/>
        </w:rPr>
        <w:t>报价记录可以恢复的，以中断时的最高有效报价为起始价继续报价；报价记录无法恢复的，以起拍价为起始价重新报价。继续报价或重新报价时将从自由竞价期开始。</w:t>
      </w:r>
    </w:p>
    <w:p w14:paraId="7BAD6858">
      <w:pPr>
        <w:pStyle w:val="7"/>
        <w:widowControl/>
        <w:shd w:val="clear" w:color="auto" w:fill="FFFFFF"/>
        <w:ind w:firstLine="463"/>
        <w:jc w:val="left"/>
        <w:rPr>
          <w:rFonts w:ascii="宋体" w:hAnsi="宋体" w:cstheme="minorBidi"/>
        </w:rPr>
      </w:pPr>
      <w:r>
        <w:rPr>
          <w:rFonts w:hint="eastAsia" w:ascii="宋体" w:hAnsi="宋体" w:cstheme="minorBidi"/>
        </w:rPr>
        <w:t>15.本规则未尽事宜，按照《中华人民共和国拍卖法》等相关法律法规办理。</w:t>
      </w:r>
    </w:p>
    <w:p w14:paraId="16758DFA">
      <w:pPr>
        <w:pStyle w:val="7"/>
        <w:widowControl/>
        <w:shd w:val="clear" w:color="auto" w:fill="FFFFFF"/>
        <w:ind w:firstLine="463"/>
        <w:jc w:val="left"/>
        <w:rPr>
          <w:rFonts w:hint="eastAsia" w:ascii="宋体" w:hAnsi="宋体" w:cstheme="minorBidi"/>
        </w:rPr>
      </w:pPr>
    </w:p>
    <w:p w14:paraId="47D1D2B2">
      <w:pPr>
        <w:pStyle w:val="7"/>
        <w:widowControl/>
        <w:shd w:val="clear" w:color="auto" w:fill="FFFFFF"/>
        <w:ind w:firstLine="463"/>
        <w:jc w:val="left"/>
        <w:rPr>
          <w:rFonts w:ascii="宋体" w:hAnsi="宋体" w:cstheme="minorBidi"/>
        </w:rPr>
      </w:pPr>
      <w:r>
        <w:rPr>
          <w:rFonts w:hint="eastAsia" w:ascii="宋体" w:hAnsi="宋体" w:cstheme="minorBidi"/>
        </w:rPr>
        <w:t>竞买人（签字并盖章）：</w:t>
      </w:r>
    </w:p>
    <w:p w14:paraId="0D982F7B">
      <w:pPr>
        <w:widowControl/>
        <w:adjustRightInd w:val="0"/>
        <w:snapToGrid w:val="0"/>
        <w:spacing w:before="156" w:beforeLines="50" w:after="156" w:afterLines="50"/>
        <w:ind w:firstLine="640" w:firstLineChars="200"/>
        <w:rPr>
          <w:rFonts w:hint="eastAsia" w:ascii="仿宋_GB2312" w:hAnsi="仿宋_GB2312" w:eastAsia="仿宋_GB2312" w:cs="仿宋_GB2312"/>
          <w:kern w:val="0"/>
          <w:sz w:val="32"/>
          <w:szCs w:val="32"/>
        </w:rPr>
      </w:pPr>
    </w:p>
    <w:p w14:paraId="4BC1A132">
      <w:pPr>
        <w:widowControl/>
        <w:adjustRightInd w:val="0"/>
        <w:snapToGrid w:val="0"/>
        <w:spacing w:after="120"/>
        <w:jc w:val="center"/>
        <w:outlineLvl w:val="1"/>
        <w:rPr>
          <w:rFonts w:hint="eastAsia" w:ascii="方正小标宋简体" w:hAnsi="方正小标宋简体" w:eastAsia="方正小标宋简体" w:cs="方正小标宋简体"/>
          <w:b/>
          <w:kern w:val="0"/>
          <w:sz w:val="44"/>
          <w:szCs w:val="44"/>
        </w:rPr>
      </w:pPr>
    </w:p>
    <w:p w14:paraId="1F8ACC4C">
      <w:pPr>
        <w:pStyle w:val="24"/>
        <w:jc w:val="center"/>
        <w:rPr>
          <w:rFonts w:ascii="Tahoma" w:hAnsi="Tahoma" w:cs="Tahoma"/>
          <w:b/>
          <w:color w:val="000000"/>
          <w:sz w:val="24"/>
          <w:szCs w:val="24"/>
        </w:rPr>
      </w:pPr>
      <w:r>
        <w:rPr>
          <w:rFonts w:hint="eastAsia" w:ascii="Tahoma" w:hAnsi="Tahoma" w:cs="Tahoma"/>
          <w:b/>
          <w:color w:val="000000"/>
          <w:sz w:val="24"/>
          <w:szCs w:val="24"/>
        </w:rPr>
        <w:t>重要提示</w:t>
      </w:r>
    </w:p>
    <w:p w14:paraId="7AAA8834">
      <w:pPr>
        <w:ind w:left="210" w:leftChars="100" w:firstLine="240" w:firstLineChars="100"/>
        <w:rPr>
          <w:rFonts w:hint="eastAsia" w:ascii="宋体" w:hAnsi="宋体"/>
          <w:sz w:val="24"/>
          <w:szCs w:val="24"/>
        </w:rPr>
      </w:pPr>
      <w:r>
        <w:rPr>
          <w:rFonts w:hint="eastAsia" w:ascii="宋体" w:hAnsi="宋体"/>
          <w:sz w:val="24"/>
          <w:szCs w:val="24"/>
        </w:rPr>
        <w:t>1、标的资产均已不能使用，数量，种类、规格、品质、型号均以现场实物展示为准，委托人对该标的资产存在的瑕疵已履行告知义务，竞买人应自行充分考虑竞得标的资产所承担的所有风险。本公司及委托方均不承担瑕疵担保责任。</w:t>
      </w:r>
    </w:p>
    <w:p w14:paraId="06BE5474">
      <w:pPr>
        <w:ind w:left="210" w:leftChars="100" w:firstLine="240" w:firstLineChars="100"/>
        <w:rPr>
          <w:rFonts w:hint="eastAsia" w:ascii="宋体" w:hAnsi="宋体"/>
          <w:sz w:val="24"/>
          <w:szCs w:val="24"/>
        </w:rPr>
      </w:pPr>
      <w:r>
        <w:rPr>
          <w:rFonts w:hint="eastAsia" w:ascii="宋体" w:hAnsi="宋体"/>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4D62EB0B">
      <w:pPr>
        <w:ind w:left="210" w:leftChars="100" w:firstLine="240" w:firstLineChars="100"/>
        <w:rPr>
          <w:rFonts w:hint="eastAsia" w:ascii="宋体" w:hAnsi="宋体"/>
          <w:sz w:val="24"/>
          <w:szCs w:val="24"/>
        </w:rPr>
      </w:pPr>
      <w:r>
        <w:rPr>
          <w:rFonts w:hint="eastAsia" w:ascii="宋体" w:hAnsi="宋体"/>
          <w:sz w:val="24"/>
          <w:szCs w:val="24"/>
        </w:rPr>
        <w:t>3、竞买人报名时需上传双方盖章签字的有效《现场踏勘确认书》《竞买文件》。</w:t>
      </w:r>
    </w:p>
    <w:p w14:paraId="0A08B982">
      <w:pPr>
        <w:pStyle w:val="24"/>
        <w:jc w:val="center"/>
        <w:rPr>
          <w:rFonts w:ascii="Tahoma" w:hAnsi="Tahoma" w:cs="Tahoma"/>
          <w:b/>
          <w:color w:val="000000"/>
          <w:sz w:val="24"/>
          <w:szCs w:val="24"/>
        </w:rPr>
      </w:pPr>
    </w:p>
    <w:p w14:paraId="0360CD95">
      <w:pPr>
        <w:pStyle w:val="24"/>
        <w:jc w:val="center"/>
        <w:rPr>
          <w:rFonts w:ascii="Tahoma" w:hAnsi="Tahoma" w:cs="Tahoma"/>
          <w:b/>
          <w:color w:val="000000"/>
          <w:sz w:val="24"/>
          <w:szCs w:val="24"/>
        </w:rPr>
      </w:pPr>
      <w:r>
        <w:rPr>
          <w:rFonts w:hint="eastAsia" w:ascii="Tahoma" w:hAnsi="Tahoma" w:cs="Tahoma"/>
          <w:b/>
          <w:color w:val="000000"/>
          <w:sz w:val="24"/>
          <w:szCs w:val="24"/>
        </w:rPr>
        <w:t>标的资产</w:t>
      </w:r>
    </w:p>
    <w:p w14:paraId="3A9428C7">
      <w:pPr>
        <w:pStyle w:val="24"/>
        <w:rPr>
          <w:rFonts w:hint="eastAsia" w:ascii="宋体" w:hAnsi="宋体"/>
          <w:sz w:val="24"/>
          <w:szCs w:val="24"/>
        </w:rPr>
      </w:pPr>
      <w:r>
        <w:rPr>
          <w:rFonts w:hint="eastAsia" w:ascii="宋体" w:hAnsi="宋体"/>
          <w:sz w:val="24"/>
          <w:szCs w:val="24"/>
        </w:rPr>
        <w:t>标的名称：中石化湖南石油化工有限公司位于岳阳市炼油二部构筑物、设备类资产</w:t>
      </w:r>
    </w:p>
    <w:p w14:paraId="7C9C735A">
      <w:pPr>
        <w:pStyle w:val="24"/>
        <w:rPr>
          <w:rFonts w:hint="eastAsia" w:ascii="宋体" w:hAnsi="宋体"/>
          <w:sz w:val="24"/>
          <w:szCs w:val="24"/>
        </w:rPr>
      </w:pPr>
      <w:r>
        <w:rPr>
          <w:rFonts w:hint="eastAsia" w:ascii="宋体" w:hAnsi="宋体"/>
          <w:sz w:val="24"/>
          <w:szCs w:val="24"/>
        </w:rPr>
        <w:t>情况说明：本次拍卖标的一切均已现场踏勘展示为准。</w:t>
      </w:r>
    </w:p>
    <w:p w14:paraId="026227BB">
      <w:pPr>
        <w:pStyle w:val="24"/>
        <w:rPr>
          <w:rFonts w:hint="eastAsia" w:ascii="宋体" w:hAnsi="宋体"/>
          <w:sz w:val="24"/>
          <w:szCs w:val="24"/>
        </w:rPr>
      </w:pPr>
    </w:p>
    <w:p w14:paraId="146B0878">
      <w:pPr>
        <w:pStyle w:val="24"/>
        <w:rPr>
          <w:rFonts w:hint="eastAsia" w:ascii="宋体" w:hAnsi="宋体"/>
          <w:sz w:val="24"/>
          <w:szCs w:val="24"/>
        </w:rPr>
      </w:pPr>
      <w:r>
        <w:rPr>
          <w:rFonts w:hint="eastAsia" w:ascii="宋体" w:hAnsi="宋体"/>
          <w:sz w:val="24"/>
          <w:szCs w:val="24"/>
        </w:rPr>
        <w:t>1、标的资产为中石化湖南石油化工有限公司位于岳阳市炼油二部构筑物、设备类资产，不保证配件齐全，已做报废处置，无法发挥原有功能，已无使用价值或修复价值，数量、型号、质量等均以现场展示实物为准。本次转让底价为含税价，委托人按内部财务制度和委托人所在地税务主管部门相关要求为买受人开具税率为13%的税票。</w:t>
      </w:r>
    </w:p>
    <w:p w14:paraId="7C2CC95D">
      <w:pPr>
        <w:pStyle w:val="24"/>
        <w:rPr>
          <w:rFonts w:hint="eastAsia" w:ascii="宋体" w:hAnsi="宋体"/>
          <w:sz w:val="24"/>
          <w:szCs w:val="24"/>
        </w:rPr>
      </w:pPr>
      <w:r>
        <w:rPr>
          <w:rFonts w:hint="eastAsia" w:ascii="宋体" w:hAnsi="宋体"/>
          <w:sz w:val="24"/>
          <w:szCs w:val="24"/>
        </w:rPr>
        <w:t>2、标的资产现场施工作业限吊车吊装或托运，不可以现场切割、动火。因违反委托人管理规定违规操作的，由此造成的严重损失及责任由买受人自行承担，委托人有权扣除买受人全部保证金并有进一步追责及索赔的权利。</w:t>
      </w:r>
    </w:p>
    <w:p w14:paraId="56C5D643">
      <w:pPr>
        <w:pStyle w:val="24"/>
        <w:rPr>
          <w:rFonts w:hint="eastAsia" w:ascii="宋体" w:hAnsi="宋体"/>
          <w:sz w:val="24"/>
          <w:szCs w:val="24"/>
        </w:rPr>
      </w:pPr>
      <w:r>
        <w:rPr>
          <w:rFonts w:hint="eastAsia" w:ascii="宋体" w:hAnsi="宋体"/>
          <w:sz w:val="24"/>
          <w:szCs w:val="24"/>
        </w:rPr>
        <w:t>3、吊车、吊装工具、运输工具需符合规范要求，移交运输过程中，确保不发生人身轻伤及以上事故；不发生设备损坏事故；不发生火灾事故；不发生同等责任及以上的交通事故；不发生环境污染事故。</w:t>
      </w:r>
    </w:p>
    <w:p w14:paraId="08C9A333">
      <w:pPr>
        <w:pStyle w:val="24"/>
        <w:rPr>
          <w:rFonts w:hint="eastAsia" w:ascii="宋体" w:hAnsi="宋体"/>
          <w:sz w:val="24"/>
          <w:szCs w:val="24"/>
        </w:rPr>
      </w:pPr>
      <w:r>
        <w:rPr>
          <w:rFonts w:hint="eastAsia" w:ascii="宋体" w:hAnsi="宋体"/>
          <w:sz w:val="24"/>
          <w:szCs w:val="24"/>
        </w:rPr>
        <w:t>4、运输车辆，买受人需制定详细移交计划，至少1个工作日前将实施运输计划书面上报委托人，同时提供运输车辆基本信息供委托人备案及办理出厂手续。</w:t>
      </w:r>
    </w:p>
    <w:p w14:paraId="339BECA1">
      <w:pPr>
        <w:pStyle w:val="24"/>
        <w:rPr>
          <w:rFonts w:hint="eastAsia" w:ascii="宋体" w:hAnsi="宋体"/>
          <w:sz w:val="24"/>
          <w:szCs w:val="24"/>
        </w:rPr>
      </w:pPr>
      <w:r>
        <w:rPr>
          <w:rFonts w:hint="eastAsia" w:ascii="宋体" w:hAnsi="宋体"/>
          <w:sz w:val="24"/>
          <w:szCs w:val="24"/>
        </w:rPr>
        <w:t>5、标的由买受人自行负责托运及承担相关费用。自签订合同起30个自然日内，受人按照转让方要求完成标的运输、清场（相关工作须通过转让方验收后方可将标的资产搬运出场）。</w:t>
      </w:r>
    </w:p>
    <w:p w14:paraId="3635B88A">
      <w:pPr>
        <w:pStyle w:val="24"/>
        <w:rPr>
          <w:rFonts w:hint="eastAsia" w:ascii="宋体" w:hAnsi="宋体"/>
          <w:sz w:val="24"/>
          <w:szCs w:val="24"/>
        </w:rPr>
      </w:pPr>
      <w:r>
        <w:rPr>
          <w:rFonts w:hint="eastAsia" w:ascii="宋体" w:hAnsi="宋体"/>
          <w:sz w:val="24"/>
          <w:szCs w:val="24"/>
        </w:rPr>
        <w:t>5、上传图片及资产信息仅供参考，买受人提取标的资产时以现场展示实际状态为准。</w:t>
      </w:r>
    </w:p>
    <w:p w14:paraId="1206BB10">
      <w:pPr>
        <w:pStyle w:val="24"/>
        <w:ind w:firstLine="480" w:firstLineChars="200"/>
        <w:rPr>
          <w:rFonts w:hint="eastAsia" w:ascii="宋体" w:hAnsi="宋体"/>
          <w:sz w:val="24"/>
          <w:szCs w:val="24"/>
        </w:rPr>
      </w:pPr>
      <w:r>
        <w:rPr>
          <w:rFonts w:hint="eastAsia" w:ascii="宋体" w:hAnsi="宋体"/>
          <w:sz w:val="24"/>
          <w:szCs w:val="24"/>
        </w:rPr>
        <w:t>转让底价：</w:t>
      </w:r>
      <w:r>
        <w:rPr>
          <w:rFonts w:hint="eastAsia" w:ascii="宋体" w:hAnsi="宋体"/>
          <w:sz w:val="24"/>
          <w:szCs w:val="24"/>
          <w:lang w:val="en-US" w:eastAsia="zh-CN"/>
        </w:rPr>
        <w:t>400640</w:t>
      </w:r>
      <w:r>
        <w:rPr>
          <w:rFonts w:hint="eastAsia" w:ascii="宋体" w:hAnsi="宋体"/>
          <w:sz w:val="24"/>
          <w:szCs w:val="24"/>
        </w:rPr>
        <w:t>元</w:t>
      </w:r>
    </w:p>
    <w:p w14:paraId="2DF3499A">
      <w:pPr>
        <w:pStyle w:val="24"/>
        <w:ind w:firstLine="480" w:firstLineChars="200"/>
        <w:rPr>
          <w:rFonts w:hint="eastAsia" w:ascii="宋体" w:hAnsi="宋体"/>
          <w:sz w:val="24"/>
          <w:szCs w:val="24"/>
        </w:rPr>
      </w:pPr>
      <w:r>
        <w:rPr>
          <w:rFonts w:hint="eastAsia" w:ascii="宋体" w:hAnsi="宋体"/>
          <w:sz w:val="24"/>
          <w:szCs w:val="24"/>
        </w:rPr>
        <w:t>竞价方式：网络竞价</w:t>
      </w:r>
    </w:p>
    <w:p w14:paraId="4E5CD377">
      <w:pPr>
        <w:pStyle w:val="24"/>
        <w:ind w:firstLine="480" w:firstLineChars="200"/>
        <w:rPr>
          <w:rFonts w:hint="eastAsia"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1</w:t>
      </w:r>
      <w:r>
        <w:rPr>
          <w:rFonts w:hint="eastAsia" w:ascii="宋体" w:hAnsi="宋体"/>
          <w:sz w:val="24"/>
          <w:szCs w:val="24"/>
        </w:rPr>
        <w:t>000元</w:t>
      </w:r>
    </w:p>
    <w:p w14:paraId="462ED8A4">
      <w:pPr>
        <w:pStyle w:val="24"/>
        <w:ind w:firstLine="482" w:firstLineChars="200"/>
        <w:rPr>
          <w:rFonts w:hint="eastAsia" w:ascii="宋体" w:hAnsi="宋体"/>
          <w:b/>
          <w:sz w:val="24"/>
          <w:szCs w:val="24"/>
        </w:rPr>
      </w:pPr>
    </w:p>
    <w:p w14:paraId="0E3D0D75">
      <w:pPr>
        <w:pStyle w:val="24"/>
        <w:ind w:firstLine="482" w:firstLineChars="200"/>
        <w:rPr>
          <w:rFonts w:hint="eastAsia" w:ascii="宋体" w:hAnsi="宋体"/>
          <w:b/>
          <w:sz w:val="24"/>
          <w:szCs w:val="24"/>
        </w:rPr>
      </w:pPr>
      <w:r>
        <w:rPr>
          <w:rFonts w:hint="eastAsia" w:ascii="宋体" w:hAnsi="宋体"/>
          <w:b/>
          <w:sz w:val="24"/>
          <w:szCs w:val="24"/>
        </w:rPr>
        <w:t>综上所述，请竞买人谨慎报价。</w:t>
      </w:r>
      <w:bookmarkStart w:id="2" w:name="_GoBack"/>
      <w:bookmarkEnd w:id="2"/>
    </w:p>
    <w:p w14:paraId="2474A6E0">
      <w:pPr>
        <w:widowControl/>
        <w:adjustRightInd w:val="0"/>
        <w:snapToGrid w:val="0"/>
        <w:spacing w:after="156" w:afterLines="50"/>
        <w:ind w:firstLine="640" w:firstLineChars="200"/>
        <w:rPr>
          <w:rFonts w:hint="eastAsia" w:ascii="仿宋_GB2312" w:hAnsi="仿宋_GB2312" w:eastAsia="仿宋_GB2312" w:cs="仿宋_GB2312"/>
          <w:kern w:val="0"/>
          <w:sz w:val="32"/>
          <w:szCs w:val="32"/>
        </w:rPr>
      </w:pPr>
    </w:p>
    <w:p w14:paraId="24843E7D">
      <w:pPr>
        <w:widowControl/>
        <w:adjustRightInd w:val="0"/>
        <w:snapToGrid w:val="0"/>
        <w:spacing w:after="156" w:afterLines="50"/>
        <w:ind w:firstLine="640" w:firstLineChars="200"/>
        <w:rPr>
          <w:rFonts w:hint="eastAsia" w:ascii="仿宋_GB2312" w:hAnsi="仿宋_GB2312" w:eastAsia="仿宋_GB2312" w:cs="仿宋_GB2312"/>
          <w:kern w:val="0"/>
          <w:sz w:val="32"/>
          <w:szCs w:val="32"/>
        </w:rPr>
      </w:pPr>
    </w:p>
    <w:p w14:paraId="514EB632">
      <w:pPr>
        <w:pStyle w:val="24"/>
        <w:ind w:firstLine="480" w:firstLineChars="200"/>
        <w:rPr>
          <w:rFonts w:hint="eastAsia" w:ascii="宋体" w:hAnsi="宋体"/>
          <w:sz w:val="24"/>
          <w:szCs w:val="24"/>
        </w:rPr>
      </w:pPr>
      <w:r>
        <w:rPr>
          <w:rFonts w:hint="eastAsia" w:ascii="宋体" w:hAnsi="宋体"/>
          <w:sz w:val="24"/>
          <w:szCs w:val="24"/>
        </w:rPr>
        <w:t>竞买人（签字并盖章）：</w:t>
      </w:r>
      <w:bookmarkEnd w:id="1"/>
    </w:p>
    <w:sectPr>
      <w:footerReference r:id="rId3" w:type="default"/>
      <w:pgSz w:w="11906" w:h="16838"/>
      <w:pgMar w:top="1213" w:right="1080" w:bottom="1213"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81439-2E08-4D55-8AC1-F1C4845DDD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7B39F2-3E79-43C2-8101-9C47CAC7CFFA}"/>
  </w:font>
  <w:font w:name="仿宋_GB2312">
    <w:panose1 w:val="02010609030101010101"/>
    <w:charset w:val="86"/>
    <w:family w:val="modern"/>
    <w:pitch w:val="default"/>
    <w:sig w:usb0="00000001" w:usb1="080E0000" w:usb2="00000000" w:usb3="00000000" w:csb0="00040000" w:csb1="00000000"/>
    <w:embedRegular r:id="rId3" w:fontKey="{F6EAB7E2-6E1D-4FC7-BD90-A90C1EF1D5E9}"/>
  </w:font>
  <w:font w:name="Tahoma">
    <w:panose1 w:val="020B0604030504040204"/>
    <w:charset w:val="00"/>
    <w:family w:val="swiss"/>
    <w:pitch w:val="default"/>
    <w:sig w:usb0="E1002EFF" w:usb1="C000605B" w:usb2="00000029" w:usb3="00000000" w:csb0="200101FF" w:csb1="20280000"/>
    <w:embedRegular r:id="rId4" w:fontKey="{EB2C3BE3-5905-49B3-9C79-374E1BE1922D}"/>
  </w:font>
  <w:font w:name="方正小标宋简体">
    <w:panose1 w:val="02000000000000000000"/>
    <w:charset w:val="86"/>
    <w:family w:val="script"/>
    <w:pitch w:val="default"/>
    <w:sig w:usb0="00000001" w:usb1="08000000" w:usb2="00000000" w:usb3="00000000" w:csb0="00040000" w:csb1="00000000"/>
    <w:embedRegular r:id="rId5" w:fontKey="{232E1428-FD30-485E-BBAF-32982BAA41D6}"/>
  </w:font>
  <w:font w:name="WPSEMBED1">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embedRegular r:id="rId6" w:fontKey="{E8BE08C8-0C78-4B61-9223-62130A1E4C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9A7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8B57D">
                          <w:pPr>
                            <w:pStyle w:val="5"/>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11</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28B57D">
                    <w:pPr>
                      <w:pStyle w:val="5"/>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11</w:t>
                    </w:r>
                    <w:r>
                      <w:rPr>
                        <w:sz w:val="24"/>
                        <w:szCs w:val="24"/>
                      </w:rPr>
                      <w:fldChar w:fldCharType="end"/>
                    </w:r>
                    <w:r>
                      <w:rPr>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09"/>
    <w:rsid w:val="00015EDA"/>
    <w:rsid w:val="00046176"/>
    <w:rsid w:val="00065EF3"/>
    <w:rsid w:val="0008406D"/>
    <w:rsid w:val="000F1DE4"/>
    <w:rsid w:val="00121B1D"/>
    <w:rsid w:val="00121BE1"/>
    <w:rsid w:val="00124869"/>
    <w:rsid w:val="0015346A"/>
    <w:rsid w:val="0018080E"/>
    <w:rsid w:val="001A36F0"/>
    <w:rsid w:val="001A5083"/>
    <w:rsid w:val="001B4713"/>
    <w:rsid w:val="001F1B98"/>
    <w:rsid w:val="001F7E52"/>
    <w:rsid w:val="00214BC1"/>
    <w:rsid w:val="00231EA1"/>
    <w:rsid w:val="0028426A"/>
    <w:rsid w:val="002D5D0A"/>
    <w:rsid w:val="003219A5"/>
    <w:rsid w:val="00343D4E"/>
    <w:rsid w:val="00353D41"/>
    <w:rsid w:val="00373ED4"/>
    <w:rsid w:val="003B3063"/>
    <w:rsid w:val="003D414C"/>
    <w:rsid w:val="003E5F26"/>
    <w:rsid w:val="004312F8"/>
    <w:rsid w:val="00451B19"/>
    <w:rsid w:val="00461BCA"/>
    <w:rsid w:val="004741E1"/>
    <w:rsid w:val="0049506F"/>
    <w:rsid w:val="004B258B"/>
    <w:rsid w:val="00562146"/>
    <w:rsid w:val="00586A10"/>
    <w:rsid w:val="005977CA"/>
    <w:rsid w:val="005D134C"/>
    <w:rsid w:val="005D17B9"/>
    <w:rsid w:val="00663E2C"/>
    <w:rsid w:val="006646B7"/>
    <w:rsid w:val="00691C5E"/>
    <w:rsid w:val="006A2216"/>
    <w:rsid w:val="006B6412"/>
    <w:rsid w:val="006B6CE3"/>
    <w:rsid w:val="006D403D"/>
    <w:rsid w:val="0073495D"/>
    <w:rsid w:val="00742DE4"/>
    <w:rsid w:val="007566C3"/>
    <w:rsid w:val="0077107A"/>
    <w:rsid w:val="00773CE5"/>
    <w:rsid w:val="007769C4"/>
    <w:rsid w:val="00786C32"/>
    <w:rsid w:val="00786F84"/>
    <w:rsid w:val="007C1E9A"/>
    <w:rsid w:val="007C3F0B"/>
    <w:rsid w:val="007D700F"/>
    <w:rsid w:val="007F305C"/>
    <w:rsid w:val="008048A7"/>
    <w:rsid w:val="00813C7E"/>
    <w:rsid w:val="008148DA"/>
    <w:rsid w:val="00816F49"/>
    <w:rsid w:val="008262E2"/>
    <w:rsid w:val="00872A61"/>
    <w:rsid w:val="008A404B"/>
    <w:rsid w:val="008A7965"/>
    <w:rsid w:val="008C32EE"/>
    <w:rsid w:val="008C5898"/>
    <w:rsid w:val="009107CC"/>
    <w:rsid w:val="009205A5"/>
    <w:rsid w:val="00927A01"/>
    <w:rsid w:val="00941110"/>
    <w:rsid w:val="00943F09"/>
    <w:rsid w:val="00955AC3"/>
    <w:rsid w:val="00983D64"/>
    <w:rsid w:val="0099776C"/>
    <w:rsid w:val="009C5CC7"/>
    <w:rsid w:val="009F7BF0"/>
    <w:rsid w:val="00A11B05"/>
    <w:rsid w:val="00A65C01"/>
    <w:rsid w:val="00AB19EE"/>
    <w:rsid w:val="00AC337B"/>
    <w:rsid w:val="00B06781"/>
    <w:rsid w:val="00B162DE"/>
    <w:rsid w:val="00B46921"/>
    <w:rsid w:val="00BB68B0"/>
    <w:rsid w:val="00BC2B68"/>
    <w:rsid w:val="00BF6E0F"/>
    <w:rsid w:val="00C0644D"/>
    <w:rsid w:val="00C134EF"/>
    <w:rsid w:val="00C137FB"/>
    <w:rsid w:val="00C226A5"/>
    <w:rsid w:val="00C252FB"/>
    <w:rsid w:val="00C447FD"/>
    <w:rsid w:val="00C7590B"/>
    <w:rsid w:val="00C87F09"/>
    <w:rsid w:val="00C91D3A"/>
    <w:rsid w:val="00CB4844"/>
    <w:rsid w:val="00CE7CE4"/>
    <w:rsid w:val="00D22924"/>
    <w:rsid w:val="00D5280A"/>
    <w:rsid w:val="00D81CF9"/>
    <w:rsid w:val="00D81E97"/>
    <w:rsid w:val="00D97283"/>
    <w:rsid w:val="00DB35C6"/>
    <w:rsid w:val="00E1262E"/>
    <w:rsid w:val="00E17DD8"/>
    <w:rsid w:val="00E40CA1"/>
    <w:rsid w:val="00E82F80"/>
    <w:rsid w:val="00E8560F"/>
    <w:rsid w:val="00EA3E3F"/>
    <w:rsid w:val="00EC693F"/>
    <w:rsid w:val="00F02F8B"/>
    <w:rsid w:val="00F36665"/>
    <w:rsid w:val="00F42DF6"/>
    <w:rsid w:val="00F67338"/>
    <w:rsid w:val="00F70108"/>
    <w:rsid w:val="00FA1FFD"/>
    <w:rsid w:val="048B5BE2"/>
    <w:rsid w:val="048E56D2"/>
    <w:rsid w:val="071B346F"/>
    <w:rsid w:val="09970B85"/>
    <w:rsid w:val="0D2E4D4E"/>
    <w:rsid w:val="0D49243D"/>
    <w:rsid w:val="0D751A57"/>
    <w:rsid w:val="11CD7844"/>
    <w:rsid w:val="12CC7AF2"/>
    <w:rsid w:val="13595E45"/>
    <w:rsid w:val="14C03686"/>
    <w:rsid w:val="188A7796"/>
    <w:rsid w:val="199764F9"/>
    <w:rsid w:val="1A506A52"/>
    <w:rsid w:val="1BE7599C"/>
    <w:rsid w:val="1D11016F"/>
    <w:rsid w:val="216E6218"/>
    <w:rsid w:val="21AF0345"/>
    <w:rsid w:val="23BC770E"/>
    <w:rsid w:val="23EE42A9"/>
    <w:rsid w:val="2569146F"/>
    <w:rsid w:val="281771D5"/>
    <w:rsid w:val="28B135BA"/>
    <w:rsid w:val="2B1C2A88"/>
    <w:rsid w:val="2D3F7B01"/>
    <w:rsid w:val="2D933C33"/>
    <w:rsid w:val="309A7BF5"/>
    <w:rsid w:val="30F073BE"/>
    <w:rsid w:val="37D3566F"/>
    <w:rsid w:val="37FE2495"/>
    <w:rsid w:val="38775B55"/>
    <w:rsid w:val="3925145A"/>
    <w:rsid w:val="39FA6443"/>
    <w:rsid w:val="3D490006"/>
    <w:rsid w:val="3E29306C"/>
    <w:rsid w:val="3EC81724"/>
    <w:rsid w:val="403D5749"/>
    <w:rsid w:val="40CD329E"/>
    <w:rsid w:val="438A4CDB"/>
    <w:rsid w:val="439A5378"/>
    <w:rsid w:val="44760DBC"/>
    <w:rsid w:val="44A21BB1"/>
    <w:rsid w:val="44C9538F"/>
    <w:rsid w:val="45F20430"/>
    <w:rsid w:val="47C00975"/>
    <w:rsid w:val="47D604EF"/>
    <w:rsid w:val="4A2D4613"/>
    <w:rsid w:val="4B413ED2"/>
    <w:rsid w:val="4CE23B93"/>
    <w:rsid w:val="4DEB45C9"/>
    <w:rsid w:val="53624CDA"/>
    <w:rsid w:val="568814D4"/>
    <w:rsid w:val="5716066D"/>
    <w:rsid w:val="58B74D97"/>
    <w:rsid w:val="59C70802"/>
    <w:rsid w:val="5C7635B3"/>
    <w:rsid w:val="5DD07337"/>
    <w:rsid w:val="5EBD3D5F"/>
    <w:rsid w:val="63765563"/>
    <w:rsid w:val="655B1BDC"/>
    <w:rsid w:val="6663343C"/>
    <w:rsid w:val="67363C15"/>
    <w:rsid w:val="68152516"/>
    <w:rsid w:val="691B43CA"/>
    <w:rsid w:val="6EFC61DE"/>
    <w:rsid w:val="70C26FB3"/>
    <w:rsid w:val="717105DC"/>
    <w:rsid w:val="71791D68"/>
    <w:rsid w:val="71D375CD"/>
    <w:rsid w:val="72CC1A29"/>
    <w:rsid w:val="75967579"/>
    <w:rsid w:val="77FB2266"/>
    <w:rsid w:val="78CC6C21"/>
    <w:rsid w:val="7B160627"/>
    <w:rsid w:val="7BD52290"/>
    <w:rsid w:val="7FA30D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qFormat/>
    <w:uiPriority w:val="99"/>
    <w:pPr>
      <w:widowControl/>
      <w:spacing w:after="120"/>
      <w:jc w:val="left"/>
    </w:pPr>
    <w:rPr>
      <w:kern w:val="0"/>
      <w:sz w:val="24"/>
      <w:szCs w:val="24"/>
      <w:lang w:eastAsia="en-US"/>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js_listingpriceunits"/>
    <w:basedOn w:val="11"/>
    <w:qFormat/>
    <w:uiPriority w:val="0"/>
  </w:style>
  <w:style w:type="character" w:customStyle="1" w:styleId="18">
    <w:name w:val="未处理的提及1"/>
    <w:basedOn w:val="11"/>
    <w:semiHidden/>
    <w:unhideWhenUsed/>
    <w:qFormat/>
    <w:uiPriority w:val="99"/>
    <w:rPr>
      <w:color w:val="605E5C"/>
      <w:shd w:val="clear" w:color="auto" w:fill="E1DFDD"/>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1">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 w:type="paragraph" w:customStyle="1" w:styleId="2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2843</Words>
  <Characters>2933</Characters>
  <Lines>56</Lines>
  <Paragraphs>58</Paragraphs>
  <TotalTime>5</TotalTime>
  <ScaleCrop>false</ScaleCrop>
  <LinksUpToDate>false</LinksUpToDate>
  <CharactersWithSpaces>2941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2025-12-03T11:15:00Z</dcterms:created>
  <dc:creator>win</dc:creator>
  <cp:lastModifiedBy>Mr. S</cp:lastModifiedBy>
  <dcterms:modified xsi:type="dcterms:W3CDTF">2026-05-25T14:38:48Z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eyJoZGlkIjoiZjFmZWIzNDg2MmIzZjExOTIzMmViNTBmYTMwYTk0ZWYiLCJ1c2VySWQiOiIyNzM3NzkzNTMifQ==</vt:lpwstr>
  </property>
  <property fmtid="{D5CDD505-2E9C-101B-9397-08002B2CF9AE}" pid="3" name="KSOProductBuildVer">
    <vt:lpwstr>2052-12.1.0.26375</vt:lpwstr>
  </property>
  <property fmtid="{D5CDD505-2E9C-101B-9397-08002B2CF9AE}" pid="4" name="ICV">
    <vt:lpwstr>550FE22EF8FB4AE993F86B4077B0E183_13</vt:lpwstr>
  </property>
</Properties>
</file>