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一、本次拍卖会依照公开、公平、公正、诚实信用原则，采取网络拍卖方式，使用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）系统进行竞价，以最高价成交。</w:t>
      </w:r>
    </w:p>
    <w:p>
      <w:pPr>
        <w:pStyle w:val="5"/>
        <w:widowControl/>
        <w:shd w:val="clear" w:color="auto" w:fill="FFFFFF"/>
        <w:spacing w:beforeAutospacing="0" w:afterAutospacing="0"/>
        <w:ind w:firstLine="360"/>
        <w:rPr>
          <w:rFonts w:ascii="宋体" w:hAnsi="宋体" w:eastAsia="宋体"/>
          <w:bCs/>
        </w:rPr>
      </w:pPr>
      <w:r>
        <w:rPr>
          <w:rFonts w:ascii="宋体" w:hAnsi="宋体" w:eastAsia="宋体"/>
        </w:rPr>
        <w:t>二、竞买人必须</w:t>
      </w:r>
      <w:r>
        <w:rPr>
          <w:rFonts w:hint="eastAsia" w:ascii="宋体" w:hAnsi="宋体" w:eastAsia="宋体"/>
          <w:bCs/>
        </w:rPr>
        <w:t>遵守本拍卖规则、网络拍卖须知及拍拍在线平台公开发布的相关规则。</w:t>
      </w:r>
    </w:p>
    <w:p>
      <w:pPr>
        <w:pStyle w:val="5"/>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bCs/>
        </w:rPr>
        <w:t>三、</w:t>
      </w:r>
      <w:r>
        <w:rPr>
          <w:rFonts w:ascii="宋体" w:hAnsi="宋体" w:eastAsia="宋体"/>
          <w:bCs/>
          <w:lang w:eastAsia="zh-TW"/>
        </w:rPr>
        <w:t>国家管网集团天津天然气管道有限责任公司拟处置工程余料涉及的工程物资及存货（收球筒）（河南省濮阳市）</w:t>
      </w:r>
      <w:r>
        <w:rPr>
          <w:rFonts w:hint="eastAsia" w:ascii="宋体" w:hAnsi="宋体" w:eastAsia="宋体"/>
          <w:bCs/>
          <w:lang w:eastAsia="zh-TW"/>
        </w:rPr>
        <w:t>。</w:t>
      </w:r>
    </w:p>
    <w:p>
      <w:pPr>
        <w:pStyle w:val="5"/>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bCs/>
          <w:lang w:eastAsia="zh-TW"/>
        </w:rPr>
        <w:t>四、</w:t>
      </w:r>
      <w:r>
        <w:rPr>
          <w:rFonts w:ascii="宋体" w:hAnsi="宋体" w:eastAsia="宋体"/>
          <w:bCs/>
          <w:lang w:eastAsia="zh-TW"/>
        </w:rPr>
        <w:t>本拍卖标的于</w:t>
      </w:r>
      <w:bookmarkStart w:id="0" w:name="_Hlk150177473"/>
      <w:r>
        <w:rPr>
          <w:rFonts w:hint="eastAsia" w:ascii="宋体" w:hAnsi="宋体" w:eastAsia="宋体"/>
          <w:bCs/>
          <w:lang w:eastAsia="zh-TW"/>
        </w:rPr>
        <w:t>202</w:t>
      </w:r>
      <w:r>
        <w:rPr>
          <w:rFonts w:hint="eastAsia" w:ascii="宋体" w:hAnsi="宋体" w:eastAsia="宋体"/>
          <w:bCs/>
          <w:lang w:val="en-US" w:eastAsia="zh-CN"/>
        </w:rPr>
        <w:t>4</w:t>
      </w:r>
      <w:r>
        <w:rPr>
          <w:rFonts w:hint="eastAsia" w:ascii="宋体" w:hAnsi="宋体" w:eastAsia="宋体"/>
          <w:bCs/>
          <w:lang w:eastAsia="zh-TW"/>
        </w:rPr>
        <w:t>年</w:t>
      </w:r>
      <w:r>
        <w:rPr>
          <w:rFonts w:hint="eastAsia" w:ascii="宋体" w:hAnsi="宋体" w:eastAsia="宋体"/>
          <w:bCs/>
          <w:lang w:val="en-US" w:eastAsia="zh-CN"/>
        </w:rPr>
        <w:t>3</w:t>
      </w:r>
      <w:r>
        <w:rPr>
          <w:rFonts w:hint="eastAsia" w:ascii="宋体" w:hAnsi="宋体" w:eastAsia="宋体"/>
          <w:bCs/>
          <w:lang w:eastAsia="zh-TW"/>
        </w:rPr>
        <w:t>月</w:t>
      </w:r>
      <w:r>
        <w:rPr>
          <w:rFonts w:hint="eastAsia" w:ascii="宋体" w:hAnsi="宋体" w:eastAsia="宋体"/>
          <w:bCs/>
          <w:lang w:val="en-US" w:eastAsia="zh-CN"/>
        </w:rPr>
        <w:t>1</w:t>
      </w:r>
      <w:r>
        <w:rPr>
          <w:rFonts w:hint="eastAsia" w:ascii="宋体" w:hAnsi="宋体" w:eastAsia="宋体"/>
          <w:bCs/>
          <w:lang w:eastAsia="zh-TW"/>
        </w:rPr>
        <w:t>日至2024年</w:t>
      </w:r>
      <w:r>
        <w:rPr>
          <w:rFonts w:hint="eastAsia" w:ascii="宋体" w:hAnsi="宋体" w:eastAsia="宋体"/>
          <w:bCs/>
          <w:lang w:val="en-US" w:eastAsia="zh-CN"/>
        </w:rPr>
        <w:t>3</w:t>
      </w:r>
      <w:r>
        <w:rPr>
          <w:rFonts w:hint="eastAsia" w:ascii="宋体" w:hAnsi="宋体" w:eastAsia="宋体"/>
          <w:bCs/>
          <w:lang w:eastAsia="zh-TW"/>
        </w:rPr>
        <w:t>月</w:t>
      </w:r>
      <w:r>
        <w:rPr>
          <w:rFonts w:hint="eastAsia" w:ascii="宋体" w:hAnsi="宋体" w:eastAsia="宋体"/>
          <w:bCs/>
          <w:lang w:val="en-US" w:eastAsia="zh-CN"/>
        </w:rPr>
        <w:t>28</w:t>
      </w:r>
      <w:r>
        <w:rPr>
          <w:rFonts w:hint="eastAsia" w:ascii="宋体" w:hAnsi="宋体" w:eastAsia="宋体"/>
          <w:bCs/>
          <w:lang w:eastAsia="zh-TW"/>
        </w:rPr>
        <w:t>日（即信息披露公告期）在天津产权交易中心公开挂牌(详见https://www.tpre.cn)，项目编号：</w:t>
      </w:r>
      <w:r>
        <w:rPr>
          <w:rFonts w:ascii="宋体" w:hAnsi="宋体" w:eastAsia="宋体"/>
          <w:bCs/>
          <w:lang w:eastAsia="zh-TW"/>
        </w:rPr>
        <w:t>GR2024TJ1000339</w:t>
      </w:r>
      <w:r>
        <w:rPr>
          <w:rFonts w:hint="eastAsia" w:ascii="宋体" w:hAnsi="宋体" w:eastAsia="宋体"/>
          <w:bCs/>
          <w:lang w:eastAsia="zh-TW"/>
        </w:rPr>
        <w:t>。</w:t>
      </w:r>
      <w:bookmarkEnd w:id="0"/>
      <w:r>
        <w:rPr>
          <w:rFonts w:ascii="宋体" w:hAnsi="宋体" w:eastAsia="宋体"/>
          <w:bCs/>
          <w:lang w:eastAsia="zh-TW"/>
        </w:rPr>
        <w:t>竞买人须在</w:t>
      </w:r>
      <w:r>
        <w:rPr>
          <w:rFonts w:hint="eastAsia" w:ascii="宋体" w:hAnsi="宋体" w:eastAsia="宋体"/>
          <w:bCs/>
          <w:lang w:eastAsia="zh-TW"/>
        </w:rPr>
        <w:t>天津产权交易中心资产</w:t>
      </w:r>
      <w:r>
        <w:rPr>
          <w:rFonts w:ascii="宋体" w:hAnsi="宋体" w:eastAsia="宋体"/>
          <w:bCs/>
          <w:lang w:eastAsia="zh-TW"/>
        </w:rPr>
        <w:t>转让信息披露公告期内完成以下事项后，方具有竞买资格：1.向</w:t>
      </w:r>
      <w:r>
        <w:rPr>
          <w:rFonts w:hint="eastAsia" w:ascii="宋体" w:hAnsi="宋体" w:eastAsia="宋体"/>
          <w:bCs/>
          <w:lang w:eastAsia="zh-TW"/>
        </w:rPr>
        <w:t>天津产权交易中心</w:t>
      </w:r>
      <w:r>
        <w:rPr>
          <w:rFonts w:ascii="宋体" w:hAnsi="宋体" w:eastAsia="宋体"/>
          <w:bCs/>
          <w:lang w:eastAsia="zh-TW"/>
        </w:rPr>
        <w:t>递交受让申请；2.联系我公司办理竞买</w:t>
      </w:r>
      <w:r>
        <w:rPr>
          <w:rFonts w:hint="eastAsia" w:ascii="宋体" w:hAnsi="宋体" w:eastAsia="宋体"/>
          <w:bCs/>
          <w:lang w:eastAsia="zh-TW"/>
        </w:rPr>
        <w:t>注册</w:t>
      </w:r>
      <w:r>
        <w:rPr>
          <w:rFonts w:ascii="宋体" w:hAnsi="宋体" w:eastAsia="宋体"/>
          <w:bCs/>
          <w:lang w:eastAsia="zh-TW"/>
        </w:rPr>
        <w:t>登记手续；3.在在天津产权交易中心信息披露期满前支付</w:t>
      </w:r>
      <w:r>
        <w:rPr>
          <w:rFonts w:hint="eastAsia" w:ascii="宋体" w:hAnsi="宋体" w:eastAsia="宋体"/>
          <w:bCs/>
          <w:lang w:eastAsia="zh-TW"/>
        </w:rPr>
        <w:t>相关</w:t>
      </w:r>
      <w:r>
        <w:rPr>
          <w:rFonts w:ascii="宋体" w:hAnsi="宋体" w:eastAsia="宋体"/>
          <w:bCs/>
          <w:lang w:eastAsia="zh-TW"/>
        </w:rPr>
        <w:t>交易保证金到天津产权交易中心指定的银行账户。</w:t>
      </w:r>
    </w:p>
    <w:p>
      <w:pPr>
        <w:pStyle w:val="5"/>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bCs/>
          <w:lang w:eastAsia="zh-TW"/>
        </w:rPr>
        <w:t>五</w:t>
      </w:r>
      <w:r>
        <w:rPr>
          <w:rFonts w:ascii="宋体" w:hAnsi="宋体" w:eastAsia="宋体"/>
          <w:bCs/>
          <w:lang w:eastAsia="zh-TW"/>
        </w:rPr>
        <w:t>、竞买人应在拍卖公告规定的展示时间内对拍卖标的进行实地踏勘，竞买人一经在</w:t>
      </w:r>
      <w:r>
        <w:rPr>
          <w:rFonts w:hint="eastAsia" w:ascii="宋体" w:hAnsi="宋体" w:eastAsia="宋体"/>
          <w:bCs/>
          <w:lang w:eastAsia="zh-TW"/>
        </w:rPr>
        <w:t>天津产权交易中心</w:t>
      </w:r>
      <w:r>
        <w:rPr>
          <w:rFonts w:ascii="宋体" w:hAnsi="宋体" w:eastAsia="宋体"/>
          <w:bCs/>
          <w:lang w:eastAsia="zh-TW"/>
        </w:rPr>
        <w:t>递交受让申请、支付交易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pPr>
        <w:pStyle w:val="5"/>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bCs/>
          <w:lang w:eastAsia="zh-TW"/>
        </w:rPr>
        <w:t>六</w:t>
      </w:r>
      <w:r>
        <w:rPr>
          <w:rFonts w:ascii="宋体" w:hAnsi="宋体" w:eastAsia="宋体"/>
          <w:bCs/>
          <w:lang w:eastAsia="zh-TW"/>
        </w:rPr>
        <w:t>、国家管网集团天津天然气管道有限责任公司拟处置工程余料涉及的工程物资及存货（收球筒）（河南省濮阳市）</w:t>
      </w:r>
      <w:r>
        <w:rPr>
          <w:rFonts w:hint="eastAsia" w:ascii="宋体" w:hAnsi="宋体" w:eastAsia="宋体"/>
          <w:bCs/>
          <w:lang w:eastAsia="zh-TW"/>
        </w:rPr>
        <w:t>。</w:t>
      </w:r>
      <w:r>
        <w:rPr>
          <w:rFonts w:ascii="宋体" w:hAnsi="宋体" w:eastAsia="宋体"/>
          <w:bCs/>
          <w:lang w:eastAsia="zh-TW"/>
        </w:rPr>
        <w:t>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pPr>
        <w:pStyle w:val="5"/>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bCs/>
          <w:lang w:eastAsia="zh-TW"/>
        </w:rPr>
        <w:t>七</w:t>
      </w:r>
      <w:r>
        <w:rPr>
          <w:rFonts w:ascii="宋体" w:hAnsi="宋体" w:eastAsia="宋体"/>
          <w:bCs/>
          <w:lang w:eastAsia="zh-TW"/>
        </w:rPr>
        <w:t>、</w:t>
      </w:r>
      <w:r>
        <w:rPr>
          <w:rFonts w:hint="eastAsia" w:ascii="宋体" w:hAnsi="宋体" w:eastAsia="宋体"/>
          <w:bCs/>
          <w:lang w:eastAsia="zh-TW"/>
        </w:rPr>
        <w:t>天津产权交易中心</w:t>
      </w:r>
      <w:r>
        <w:rPr>
          <w:rFonts w:ascii="宋体" w:hAnsi="宋体" w:eastAsia="宋体"/>
          <w:bCs/>
          <w:lang w:eastAsia="zh-TW"/>
        </w:rPr>
        <w:t>挂牌的转让底价（即</w:t>
      </w:r>
      <w:r>
        <w:rPr>
          <w:rFonts w:hint="eastAsia" w:ascii="宋体" w:hAnsi="宋体" w:eastAsia="宋体"/>
          <w:bCs/>
          <w:lang w:val="en-US" w:eastAsia="zh-CN"/>
        </w:rPr>
        <w:t>119.4718</w:t>
      </w:r>
      <w:r>
        <w:rPr>
          <w:rFonts w:hint="eastAsia" w:ascii="宋体" w:hAnsi="宋体" w:eastAsia="宋体"/>
          <w:bCs/>
        </w:rPr>
        <w:t>万元</w:t>
      </w:r>
      <w:r>
        <w:rPr>
          <w:rFonts w:ascii="宋体" w:hAnsi="宋体" w:eastAsia="宋体"/>
          <w:bCs/>
          <w:lang w:eastAsia="zh-TW"/>
        </w:rPr>
        <w:t>），本次拍卖会起拍价为</w:t>
      </w:r>
      <w:r>
        <w:rPr>
          <w:rFonts w:hint="eastAsia" w:ascii="宋体" w:hAnsi="宋体" w:eastAsia="宋体"/>
          <w:bCs/>
          <w:lang w:val="en-US" w:eastAsia="zh-CN"/>
        </w:rPr>
        <w:t>119.4718</w:t>
      </w:r>
      <w:r>
        <w:rPr>
          <w:rFonts w:hint="eastAsia" w:ascii="宋体" w:hAnsi="宋体" w:eastAsia="宋体"/>
          <w:bCs/>
        </w:rPr>
        <w:t>万元，</w:t>
      </w:r>
      <w:r>
        <w:rPr>
          <w:rFonts w:ascii="宋体" w:hAnsi="宋体" w:eastAsia="宋体"/>
          <w:bCs/>
          <w:lang w:eastAsia="zh-TW"/>
        </w:rPr>
        <w:t>网络拍卖采取增价方式。</w:t>
      </w:r>
    </w:p>
    <w:p>
      <w:pPr>
        <w:pStyle w:val="5"/>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bCs/>
          <w:lang w:eastAsia="zh-TW"/>
        </w:rPr>
        <w:t>八</w:t>
      </w:r>
      <w:r>
        <w:rPr>
          <w:rFonts w:ascii="宋体" w:hAnsi="宋体" w:eastAsia="宋体"/>
          <w:bCs/>
          <w:lang w:eastAsia="zh-TW"/>
        </w:rPr>
        <w:t>、竞买人使用</w:t>
      </w:r>
      <w:r>
        <w:rPr>
          <w:rFonts w:hint="eastAsia" w:ascii="宋体" w:hAnsi="宋体" w:eastAsia="宋体"/>
          <w:bCs/>
          <w:lang w:eastAsia="zh-TW"/>
        </w:rPr>
        <w:t>拍拍在线</w:t>
      </w:r>
      <w:r>
        <w:rPr>
          <w:rFonts w:ascii="宋体" w:hAnsi="宋体" w:eastAsia="宋体"/>
          <w:bCs/>
          <w:lang w:eastAsia="zh-TW"/>
        </w:rPr>
        <w:t>平台服务所存在的风险、产生的一切后果将完全由其自行承担。</w:t>
      </w:r>
    </w:p>
    <w:p>
      <w:pPr>
        <w:pStyle w:val="5"/>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九</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rPr>
        <w:t>成交确认书及拍卖笔录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ascii="宋体" w:hAnsi="宋体" w:eastAsia="宋体"/>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bCs/>
          <w:lang w:eastAsia="zh-TW"/>
        </w:rPr>
        <w:t>成交确认书及拍卖笔录</w:t>
      </w:r>
      <w:r>
        <w:rPr>
          <w:rFonts w:ascii="宋体" w:hAnsi="宋体" w:eastAsia="宋体"/>
          <w:bCs/>
          <w:lang w:eastAsia="zh-TW"/>
        </w:rPr>
        <w:t>、支付拍卖佣金的，其已支付的交易保证金不予退还，作为对相关方的补偿，买受人应承担由此产生的法律责任。</w:t>
      </w:r>
    </w:p>
    <w:p>
      <w:pPr>
        <w:pStyle w:val="5"/>
        <w:widowControl/>
        <w:shd w:val="clear" w:color="auto" w:fill="FFFFFF"/>
        <w:spacing w:beforeAutospacing="0" w:afterAutospacing="0"/>
        <w:ind w:firstLine="360"/>
        <w:rPr>
          <w:rFonts w:ascii="宋体" w:hAnsi="宋体" w:eastAsia="PMingLiU"/>
          <w:bCs/>
          <w:lang w:eastAsia="zh-TW"/>
        </w:rPr>
      </w:pPr>
      <w:r>
        <w:rPr>
          <w:rFonts w:ascii="宋体" w:hAnsi="宋体" w:eastAsia="宋体"/>
          <w:bCs/>
          <w:lang w:eastAsia="zh-TW"/>
        </w:rPr>
        <w:t>十、在天津产权出具资产交易凭证后5个工作日内持资产交易凭证、</w:t>
      </w:r>
      <w:r>
        <w:rPr>
          <w:rFonts w:ascii="宋体" w:hAnsi="宋体" w:eastAsia="宋体"/>
        </w:rPr>
        <w:t>买受人</w:t>
      </w:r>
      <w:r>
        <w:rPr>
          <w:rFonts w:ascii="宋体" w:hAnsi="宋体" w:eastAsia="宋体"/>
          <w:bCs/>
          <w:lang w:eastAsia="zh-TW"/>
        </w:rPr>
        <w:t>有效身份证明，赴现场与转让方开始办理标的资产交割工作；标的资产的油渍清洗（如有）、装卸、运输、场地清理等费用由</w:t>
      </w:r>
      <w:r>
        <w:rPr>
          <w:rFonts w:ascii="宋体" w:hAnsi="宋体" w:eastAsia="宋体"/>
        </w:rPr>
        <w:t>买受人</w:t>
      </w:r>
      <w:r>
        <w:rPr>
          <w:rFonts w:ascii="宋体" w:hAnsi="宋体" w:eastAsia="宋体"/>
          <w:bCs/>
          <w:lang w:eastAsia="zh-TW"/>
        </w:rPr>
        <w:t>承担，标的资产交割工作应按照转让方的安全环保要求开展，标的资产的装卸、运输须由具备装卸、运输资质或委托有装卸、运输资质的单位施工，标的资产移交过程中，因</w:t>
      </w:r>
      <w:r>
        <w:rPr>
          <w:rFonts w:ascii="宋体" w:hAnsi="宋体" w:eastAsia="宋体"/>
        </w:rPr>
        <w:t>买受人</w:t>
      </w:r>
      <w:r>
        <w:rPr>
          <w:rFonts w:ascii="宋体" w:hAnsi="宋体" w:eastAsia="宋体"/>
          <w:bCs/>
          <w:lang w:eastAsia="zh-TW"/>
        </w:rPr>
        <w:t>原因造成的安全、环境污染所发生的任何费用均由</w:t>
      </w:r>
      <w:r>
        <w:rPr>
          <w:rFonts w:ascii="宋体" w:hAnsi="宋体" w:eastAsia="宋体"/>
        </w:rPr>
        <w:t>买受人</w:t>
      </w:r>
      <w:r>
        <w:rPr>
          <w:rFonts w:ascii="宋体" w:hAnsi="宋体" w:eastAsia="宋体"/>
          <w:bCs/>
          <w:lang w:eastAsia="zh-TW"/>
        </w:rPr>
        <w:t>承担，转让方不承担由此造成的任何责任。 买受人的交易服务费按成交价格的1%支付至天津产权指定账户。</w:t>
      </w:r>
    </w:p>
    <w:p>
      <w:pPr>
        <w:pStyle w:val="5"/>
        <w:widowControl/>
        <w:shd w:val="clear" w:color="auto" w:fill="FFFFFF"/>
        <w:spacing w:beforeAutospacing="0" w:afterAutospacing="0"/>
        <w:ind w:firstLine="360"/>
        <w:rPr>
          <w:rFonts w:ascii="宋体" w:hAnsi="宋体" w:eastAsia="宋体"/>
        </w:rPr>
      </w:pPr>
      <w:r>
        <w:rPr>
          <w:rFonts w:ascii="宋体" w:hAnsi="宋体" w:eastAsia="宋体"/>
          <w:bCs/>
          <w:lang w:eastAsia="zh-TW"/>
        </w:rPr>
        <w:t>十</w:t>
      </w:r>
      <w:r>
        <w:rPr>
          <w:rFonts w:hint="eastAsia" w:ascii="宋体" w:hAnsi="宋体" w:eastAsia="宋体"/>
          <w:bCs/>
          <w:lang w:eastAsia="zh-TW"/>
        </w:rPr>
        <w:t>一</w:t>
      </w:r>
      <w:r>
        <w:rPr>
          <w:rFonts w:ascii="宋体" w:hAnsi="宋体" w:eastAsia="宋体"/>
          <w:bCs/>
          <w:lang w:eastAsia="zh-TW"/>
        </w:rPr>
        <w:t>、拍卖标的在</w:t>
      </w:r>
      <w:r>
        <w:rPr>
          <w:rFonts w:hint="eastAsia" w:ascii="宋体" w:hAnsi="宋体" w:eastAsia="宋体"/>
          <w:bCs/>
          <w:lang w:eastAsia="zh-TW"/>
        </w:rPr>
        <w:t>天津产权交易中心</w:t>
      </w:r>
      <w:r>
        <w:rPr>
          <w:rFonts w:ascii="宋体" w:hAnsi="宋体" w:eastAsia="宋体"/>
          <w:bCs/>
          <w:lang w:eastAsia="zh-TW"/>
        </w:rPr>
        <w:t>的</w:t>
      </w:r>
      <w:r>
        <w:rPr>
          <w:rFonts w:hint="eastAsia" w:ascii="宋体" w:hAnsi="宋体" w:eastAsia="宋体"/>
          <w:bCs/>
          <w:lang w:eastAsia="zh-TW"/>
        </w:rPr>
        <w:t>资产</w:t>
      </w:r>
      <w:r>
        <w:rPr>
          <w:rFonts w:ascii="宋体" w:hAnsi="宋体" w:eastAsia="宋体"/>
          <w:bCs/>
          <w:lang w:eastAsia="zh-TW"/>
        </w:rPr>
        <w:t>转让信息披露公告及公示的相关文件是本拍卖规则的组成部分。</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二</w:t>
      </w:r>
      <w:r>
        <w:rPr>
          <w:rFonts w:ascii="宋体" w:hAnsi="宋体" w:eastAsia="宋体"/>
        </w:rPr>
        <w:t>、本规则未尽事宜，按照《中华人民共和国拍卖法》等相关法律法规办理。</w:t>
      </w:r>
    </w:p>
    <w:p>
      <w:pPr>
        <w:pStyle w:val="5"/>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rPr>
        <w:t>天津产权交易中心</w:t>
      </w:r>
    </w:p>
    <w:p>
      <w:pPr>
        <w:pStyle w:val="5"/>
        <w:widowControl/>
        <w:shd w:val="clear" w:color="auto" w:fill="FFFFFF"/>
        <w:spacing w:beforeAutospacing="0" w:afterAutospacing="0"/>
        <w:rPr>
          <w:rFonts w:ascii="宋体" w:hAnsi="宋体" w:eastAsia="宋体"/>
        </w:rPr>
      </w:pP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、竞买人应于报名截止日（2024年</w:t>
      </w:r>
      <w:r>
        <w:rPr>
          <w:rFonts w:hint="eastAsia" w:ascii="宋体" w:hAnsi="宋体" w:eastAsia="宋体"/>
          <w:lang w:val="en-US" w:eastAsia="zh-CN"/>
        </w:rPr>
        <w:t>4</w:t>
      </w:r>
      <w:r>
        <w:rPr>
          <w:rFonts w:ascii="宋体" w:hAnsi="宋体" w:eastAsia="宋体"/>
        </w:rPr>
        <w:t>月</w:t>
      </w:r>
      <w:r>
        <w:rPr>
          <w:rFonts w:hint="eastAsia" w:ascii="宋体" w:hAnsi="宋体" w:eastAsia="宋体"/>
          <w:lang w:val="en-US" w:eastAsia="zh-CN"/>
        </w:rPr>
        <w:t>1</w:t>
      </w:r>
      <w:r>
        <w:rPr>
          <w:rFonts w:ascii="宋体" w:hAnsi="宋体" w:eastAsia="宋体"/>
        </w:rPr>
        <w:t>日）</w:t>
      </w:r>
      <w:r>
        <w:rPr>
          <w:rFonts w:hint="eastAsia" w:ascii="宋体" w:hAnsi="宋体" w:eastAsia="宋体"/>
          <w:lang w:val="en-US" w:eastAsia="zh-CN"/>
        </w:rPr>
        <w:t>9</w:t>
      </w:r>
      <w:r>
        <w:rPr>
          <w:rFonts w:hint="eastAsia" w:ascii="宋体" w:hAnsi="宋体" w:eastAsia="宋体"/>
        </w:rPr>
        <w:t>:</w:t>
      </w:r>
      <w:r>
        <w:rPr>
          <w:rFonts w:hint="eastAsia" w:ascii="宋体" w:hAnsi="宋体" w:eastAsia="宋体"/>
          <w:lang w:val="en-US" w:eastAsia="zh-CN"/>
        </w:rPr>
        <w:t>3</w:t>
      </w:r>
      <w:r>
        <w:rPr>
          <w:rFonts w:hint="eastAsia" w:ascii="宋体" w:hAnsi="宋体" w:eastAsia="宋体"/>
        </w:rPr>
        <w:t>0</w:t>
      </w:r>
      <w:r>
        <w:rPr>
          <w:rFonts w:ascii="宋体" w:hAnsi="宋体" w:eastAsia="宋体"/>
        </w:rPr>
        <w:t>前完成</w:t>
      </w:r>
      <w:r>
        <w:rPr>
          <w:rFonts w:hint="eastAsia" w:ascii="宋体" w:hAnsi="宋体" w:eastAsia="宋体"/>
        </w:rPr>
        <w:t>注册</w:t>
      </w:r>
      <w:r>
        <w:rPr>
          <w:rFonts w:ascii="宋体" w:hAnsi="宋体" w:eastAsia="宋体"/>
        </w:rPr>
        <w:t>竞买报名手续</w:t>
      </w:r>
      <w:r>
        <w:rPr>
          <w:rFonts w:hint="eastAsia" w:ascii="宋体" w:hAnsi="宋体" w:eastAsia="宋体"/>
        </w:rPr>
        <w:t>。</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1.自由竞价期：自由竞价期自2024年</w:t>
      </w:r>
      <w:r>
        <w:rPr>
          <w:rFonts w:hint="eastAsia" w:ascii="宋体" w:hAnsi="宋体" w:eastAsia="宋体"/>
          <w:lang w:val="en-US" w:eastAsia="zh-CN"/>
        </w:rPr>
        <w:t>4</w:t>
      </w:r>
      <w:r>
        <w:rPr>
          <w:rFonts w:ascii="宋体" w:hAnsi="宋体" w:eastAsia="宋体"/>
        </w:rPr>
        <w:t>月</w:t>
      </w:r>
      <w:r>
        <w:rPr>
          <w:rFonts w:hint="eastAsia" w:ascii="宋体" w:hAnsi="宋体" w:eastAsia="宋体"/>
          <w:lang w:val="en-US" w:eastAsia="zh-CN"/>
        </w:rPr>
        <w:t>1</w:t>
      </w:r>
      <w:r>
        <w:rPr>
          <w:rFonts w:ascii="宋体" w:hAnsi="宋体" w:eastAsia="宋体"/>
        </w:rPr>
        <w:t>日10时</w:t>
      </w:r>
      <w:r>
        <w:rPr>
          <w:rFonts w:hint="eastAsia" w:ascii="宋体" w:hAnsi="宋体" w:eastAsia="宋体"/>
          <w:lang w:val="en-US" w:eastAsia="zh-CN"/>
        </w:rPr>
        <w:t>00</w:t>
      </w:r>
      <w:r>
        <w:rPr>
          <w:rFonts w:ascii="宋体" w:hAnsi="宋体" w:eastAsia="宋体"/>
        </w:rPr>
        <w:t>分整至2024年</w:t>
      </w:r>
      <w:r>
        <w:rPr>
          <w:rFonts w:hint="eastAsia" w:ascii="宋体" w:hAnsi="宋体" w:eastAsia="宋体"/>
          <w:lang w:val="en-US" w:eastAsia="zh-CN"/>
        </w:rPr>
        <w:t>4</w:t>
      </w:r>
      <w:r>
        <w:rPr>
          <w:rFonts w:ascii="宋体" w:hAnsi="宋体" w:eastAsia="宋体"/>
        </w:rPr>
        <w:t>月</w:t>
      </w:r>
      <w:r>
        <w:rPr>
          <w:rFonts w:hint="eastAsia" w:ascii="宋体" w:hAnsi="宋体" w:eastAsia="宋体"/>
          <w:lang w:val="en-US" w:eastAsia="zh-CN"/>
        </w:rPr>
        <w:t>1</w:t>
      </w:r>
      <w:r>
        <w:rPr>
          <w:rFonts w:hint="eastAsia" w:ascii="宋体" w:hAnsi="宋体" w:eastAsia="宋体"/>
        </w:rPr>
        <w:t>日1</w:t>
      </w:r>
      <w:r>
        <w:rPr>
          <w:rFonts w:ascii="宋体" w:hAnsi="宋体" w:eastAsia="宋体"/>
        </w:rPr>
        <w:t>0时</w:t>
      </w:r>
      <w:r>
        <w:rPr>
          <w:rFonts w:hint="eastAsia" w:ascii="宋体" w:hAnsi="宋体" w:eastAsia="宋体"/>
          <w:lang w:val="en-US" w:eastAsia="zh-CN"/>
        </w:rPr>
        <w:t>2</w:t>
      </w:r>
      <w:r>
        <w:rPr>
          <w:rFonts w:ascii="宋体" w:hAnsi="宋体" w:eastAsia="宋体"/>
        </w:rPr>
        <w:t>0分整。在此期间，竞买人按照规定的加价规则进行有效报价。</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rPr>
        <w:t>成交确认书及拍卖笔录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ascii="宋体" w:hAnsi="宋体" w:eastAsia="宋体"/>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pPr>
        <w:pStyle w:val="5"/>
        <w:widowControl/>
        <w:shd w:val="clear" w:color="auto" w:fill="FFFFFF"/>
        <w:spacing w:beforeAutospacing="0" w:afterAutospacing="0"/>
        <w:ind w:firstLine="360"/>
        <w:rPr>
          <w:rFonts w:hint="eastAsia" w:ascii="宋体" w:hAnsi="宋体" w:eastAsia="PMingLiU"/>
          <w:bCs/>
          <w:lang w:eastAsia="zh-TW"/>
        </w:rPr>
      </w:pPr>
      <w:r>
        <w:rPr>
          <w:rFonts w:ascii="宋体" w:hAnsi="宋体" w:eastAsia="宋体"/>
        </w:rPr>
        <w:t>十、</w:t>
      </w:r>
      <w:r>
        <w:rPr>
          <w:rFonts w:ascii="宋体" w:hAnsi="宋体" w:eastAsia="宋体"/>
          <w:bCs/>
          <w:lang w:eastAsia="zh-TW"/>
        </w:rPr>
        <w:t>在天津产权出具资产交易凭证后5个工作日内持资产交易凭证、</w:t>
      </w:r>
      <w:r>
        <w:rPr>
          <w:rFonts w:ascii="宋体" w:hAnsi="宋体" w:eastAsia="宋体"/>
        </w:rPr>
        <w:t>买受人</w:t>
      </w:r>
      <w:r>
        <w:rPr>
          <w:rFonts w:ascii="宋体" w:hAnsi="宋体" w:eastAsia="宋体"/>
          <w:bCs/>
          <w:lang w:eastAsia="zh-TW"/>
        </w:rPr>
        <w:t>有效身份证明，赴现场与转让方开始办理标的资产交割工作；标的资产的油渍清洗（如有）、装卸、运输、场地清理等费用由</w:t>
      </w:r>
      <w:r>
        <w:rPr>
          <w:rFonts w:ascii="宋体" w:hAnsi="宋体" w:eastAsia="宋体"/>
        </w:rPr>
        <w:t>买受人</w:t>
      </w:r>
      <w:r>
        <w:rPr>
          <w:rFonts w:ascii="宋体" w:hAnsi="宋体" w:eastAsia="宋体"/>
          <w:bCs/>
          <w:lang w:eastAsia="zh-TW"/>
        </w:rPr>
        <w:t>承担，标的资产交割工作应按照转让方的安全环保要求开展，标的资产的装卸、运输须由具备装卸、运输资质或委托有装卸、运输资质的单位施工，标的资产移交过程中，因</w:t>
      </w:r>
      <w:r>
        <w:rPr>
          <w:rFonts w:ascii="宋体" w:hAnsi="宋体" w:eastAsia="宋体"/>
        </w:rPr>
        <w:t>买受人</w:t>
      </w:r>
      <w:r>
        <w:rPr>
          <w:rFonts w:ascii="宋体" w:hAnsi="宋体" w:eastAsia="宋体"/>
          <w:bCs/>
          <w:lang w:eastAsia="zh-TW"/>
        </w:rPr>
        <w:t>原因造成的安全、环境污染所发生的任何费用均由</w:t>
      </w:r>
      <w:r>
        <w:rPr>
          <w:rFonts w:ascii="宋体" w:hAnsi="宋体" w:eastAsia="宋体"/>
        </w:rPr>
        <w:t>买受人</w:t>
      </w:r>
      <w:r>
        <w:rPr>
          <w:rFonts w:ascii="宋体" w:hAnsi="宋体" w:eastAsia="宋体"/>
          <w:bCs/>
          <w:lang w:eastAsia="zh-TW"/>
        </w:rPr>
        <w:t>承担，转让方不承担由此造成的任何责任。 买受人的交易服务费按成交价格的1%支付至天津产权指定账户。</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一</w:t>
      </w:r>
      <w:r>
        <w:rPr>
          <w:rFonts w:ascii="宋体" w:hAnsi="宋体" w:eastAsia="宋体"/>
        </w:rPr>
        <w:t>、竞买人应对其在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二</w:t>
      </w:r>
      <w:r>
        <w:rPr>
          <w:rFonts w:ascii="宋体" w:hAnsi="宋体" w:eastAsia="宋体"/>
        </w:rPr>
        <w:t>、因竞买人如下行为产生的一切后果，拍卖公司不承担任何责任：</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三</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pPr>
        <w:pStyle w:val="5"/>
        <w:widowControl/>
        <w:numPr>
          <w:ilvl w:val="0"/>
          <w:numId w:val="1"/>
        </w:numPr>
        <w:shd w:val="clear" w:color="auto" w:fill="FFFFFF"/>
        <w:spacing w:beforeAutospacing="0" w:afterAutospacing="0"/>
        <w:ind w:firstLine="360"/>
        <w:rPr>
          <w:rFonts w:ascii="宋体" w:hAnsi="宋体" w:eastAsia="宋体"/>
        </w:rPr>
      </w:pPr>
      <w:r>
        <w:rPr>
          <w:rFonts w:ascii="宋体" w:hAnsi="宋体" w:eastAsia="宋体"/>
        </w:rPr>
        <w:t>竞买人对上述内容已经阅读并充分理解、完全认可后，方可参与竞买。</w:t>
      </w:r>
    </w:p>
    <w:p>
      <w:pPr>
        <w:pStyle w:val="5"/>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firstLine="4560" w:firstLineChars="1900"/>
        <w:rPr>
          <w:rFonts w:ascii="宋体" w:hAnsi="宋体" w:eastAsia="宋体"/>
        </w:rPr>
      </w:pPr>
      <w:r>
        <w:rPr>
          <w:rFonts w:hint="eastAsia" w:ascii="宋体" w:hAnsi="宋体" w:eastAsia="宋体"/>
        </w:rPr>
        <w:t xml:space="preserve"> 竞买人签章：</w:t>
      </w:r>
    </w:p>
    <w:p>
      <w:pPr>
        <w:pStyle w:val="5"/>
        <w:widowControl/>
        <w:shd w:val="clear" w:color="auto" w:fill="FFFFFF"/>
        <w:spacing w:beforeAutospacing="0" w:afterAutospacing="0"/>
        <w:ind w:left="360" w:firstLine="4560" w:firstLineChars="1900"/>
        <w:rPr>
          <w:rFonts w:ascii="宋体" w:hAnsi="宋体" w:eastAsia="宋体"/>
        </w:rPr>
      </w:pPr>
      <w:r>
        <w:rPr>
          <w:rFonts w:hint="eastAsia" w:ascii="宋体" w:hAnsi="宋体" w:eastAsia="宋体"/>
        </w:rPr>
        <w:t>202</w:t>
      </w:r>
      <w:r>
        <w:rPr>
          <w:rFonts w:ascii="宋体" w:hAnsi="宋体" w:eastAsia="宋体"/>
        </w:rPr>
        <w:t>4</w:t>
      </w:r>
      <w:r>
        <w:rPr>
          <w:rFonts w:hint="eastAsia" w:ascii="宋体" w:hAnsi="宋体" w:eastAsia="宋体"/>
        </w:rPr>
        <w:t>年</w:t>
      </w:r>
      <w:r>
        <w:rPr>
          <w:rFonts w:hint="eastAsia" w:ascii="宋体" w:hAnsi="宋体" w:eastAsia="宋体"/>
          <w:lang w:val="en-US" w:eastAsia="zh-CN"/>
        </w:rPr>
        <w:t>4</w:t>
      </w:r>
      <w:r>
        <w:rPr>
          <w:rFonts w:hint="eastAsia" w:ascii="宋体" w:hAnsi="宋体" w:eastAsia="宋体"/>
        </w:rPr>
        <w:t>月</w:t>
      </w:r>
      <w:r>
        <w:rPr>
          <w:rFonts w:hint="eastAsia" w:ascii="宋体" w:hAnsi="宋体" w:eastAsia="宋体"/>
          <w:lang w:val="en-US" w:eastAsia="zh-CN"/>
        </w:rPr>
        <w:t>1</w:t>
      </w:r>
      <w:bookmarkStart w:id="1" w:name="_GoBack"/>
      <w:bookmarkEnd w:id="1"/>
      <w:r>
        <w:rPr>
          <w:rFonts w:hint="eastAsia" w:ascii="宋体" w:hAnsi="宋体" w:eastAsia="宋体"/>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Arial Unicode MS">
    <w:altName w:val="Arial"/>
    <w:panose1 w:val="020B0604020202020204"/>
    <w:charset w:val="00"/>
    <w:family w:val="roman"/>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507464"/>
    <w:multiLevelType w:val="singleLevel"/>
    <w:tmpl w:val="D0507464"/>
    <w:lvl w:ilvl="0" w:tentative="0">
      <w:start w:val="1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100DA"/>
    <w:rsid w:val="001565D9"/>
    <w:rsid w:val="0017639C"/>
    <w:rsid w:val="00185129"/>
    <w:rsid w:val="001B2D98"/>
    <w:rsid w:val="00223A16"/>
    <w:rsid w:val="002C2E59"/>
    <w:rsid w:val="00326F70"/>
    <w:rsid w:val="003471B6"/>
    <w:rsid w:val="003B5371"/>
    <w:rsid w:val="00432ECB"/>
    <w:rsid w:val="005E2ED9"/>
    <w:rsid w:val="00667212"/>
    <w:rsid w:val="00836316"/>
    <w:rsid w:val="00852629"/>
    <w:rsid w:val="0095123F"/>
    <w:rsid w:val="00A56458"/>
    <w:rsid w:val="00A6190F"/>
    <w:rsid w:val="00AC5DE9"/>
    <w:rsid w:val="00AE0795"/>
    <w:rsid w:val="00B2555B"/>
    <w:rsid w:val="00B77DC2"/>
    <w:rsid w:val="00C66F3E"/>
    <w:rsid w:val="00D655D0"/>
    <w:rsid w:val="00E10BE6"/>
    <w:rsid w:val="00F113F8"/>
    <w:rsid w:val="00F312C5"/>
    <w:rsid w:val="00FE5734"/>
    <w:rsid w:val="00FF091A"/>
    <w:rsid w:val="011E1787"/>
    <w:rsid w:val="04415F4E"/>
    <w:rsid w:val="06CD1D0A"/>
    <w:rsid w:val="08261E63"/>
    <w:rsid w:val="08CA74B0"/>
    <w:rsid w:val="08EA4487"/>
    <w:rsid w:val="16A96104"/>
    <w:rsid w:val="189D5138"/>
    <w:rsid w:val="18D87D7B"/>
    <w:rsid w:val="1C2F454A"/>
    <w:rsid w:val="1D58293E"/>
    <w:rsid w:val="1E1100E9"/>
    <w:rsid w:val="2953022C"/>
    <w:rsid w:val="2B0977B3"/>
    <w:rsid w:val="2E6F12A7"/>
    <w:rsid w:val="2E947847"/>
    <w:rsid w:val="2EF20B1E"/>
    <w:rsid w:val="2F905505"/>
    <w:rsid w:val="31B36B3F"/>
    <w:rsid w:val="33FD3ED6"/>
    <w:rsid w:val="35C068D7"/>
    <w:rsid w:val="35CA2788"/>
    <w:rsid w:val="3B415209"/>
    <w:rsid w:val="48323A76"/>
    <w:rsid w:val="4EAE3C89"/>
    <w:rsid w:val="52B105C8"/>
    <w:rsid w:val="5A111D84"/>
    <w:rsid w:val="5B1E576E"/>
    <w:rsid w:val="5D907ACB"/>
    <w:rsid w:val="602B6D69"/>
    <w:rsid w:val="65CE2964"/>
    <w:rsid w:val="66673746"/>
    <w:rsid w:val="680E1D9F"/>
    <w:rsid w:val="68F74243"/>
    <w:rsid w:val="69A96353"/>
    <w:rsid w:val="69B308AF"/>
    <w:rsid w:val="6C0E36E7"/>
    <w:rsid w:val="6DB30EBC"/>
    <w:rsid w:val="702D35C1"/>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customStyle="1" w:styleId="8">
    <w:name w:val="1"/>
    <w:basedOn w:val="1"/>
    <w:next w:val="2"/>
    <w:qFormat/>
    <w:uiPriority w:val="0"/>
    <w:pPr>
      <w:spacing w:before="60" w:after="60"/>
      <w:ind w:firstLine="425"/>
    </w:pPr>
    <w:rPr>
      <w:sz w:val="24"/>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444</Words>
  <Characters>2533</Characters>
  <Lines>21</Lines>
  <Paragraphs>5</Paragraphs>
  <TotalTime>3</TotalTime>
  <ScaleCrop>false</ScaleCrop>
  <LinksUpToDate>false</LinksUpToDate>
  <CharactersWithSpaces>2972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2024-03-01T03:09:25Z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635D53C17A694AB4877BE1FF37681281</vt:lpwstr>
  </property>
</Properties>
</file>