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before="156" w:beforeLines="50" w:line="360" w:lineRule="auto"/>
        <w:jc w:val="center"/>
        <w:outlineLvl w:val="1"/>
        <w:rPr>
          <w:rFonts w:hint="default" w:ascii="宋体" w:hAnsi="宋体"/>
          <w:b/>
          <w:sz w:val="32"/>
          <w:szCs w:val="32"/>
          <w:lang w:val="en-US" w:eastAsia="zh-CN"/>
        </w:rPr>
      </w:pPr>
      <w:r>
        <w:rPr>
          <w:rFonts w:hint="eastAsia" w:ascii="宋体" w:hAnsi="宋体"/>
          <w:b/>
          <w:sz w:val="32"/>
          <w:szCs w:val="32"/>
          <w:lang w:val="en-US" w:eastAsia="zh-CN"/>
        </w:rPr>
        <w:t>《竞买文件》</w:t>
      </w:r>
    </w:p>
    <w:p>
      <w:pPr>
        <w:pStyle w:val="3"/>
        <w:adjustRightInd w:val="0"/>
        <w:snapToGrid w:val="0"/>
        <w:spacing w:before="156" w:beforeLines="50" w:line="360" w:lineRule="auto"/>
        <w:jc w:val="center"/>
        <w:outlineLvl w:val="1"/>
        <w:rPr>
          <w:rFonts w:ascii="宋体" w:hAnsi="宋体"/>
          <w:b/>
          <w:lang w:eastAsia="zh-CN"/>
        </w:rPr>
      </w:pPr>
      <w:r>
        <w:rPr>
          <w:rFonts w:hint="eastAsia" w:ascii="宋体" w:hAnsi="宋体"/>
          <w:b/>
          <w:lang w:eastAsia="zh-CN"/>
        </w:rPr>
        <w:t>承诺函</w:t>
      </w:r>
    </w:p>
    <w:p>
      <w:pPr>
        <w:pStyle w:val="3"/>
        <w:adjustRightInd w:val="0"/>
        <w:snapToGrid w:val="0"/>
        <w:spacing w:before="156" w:beforeLines="50"/>
        <w:rPr>
          <w:rFonts w:ascii="宋体" w:hAnsi="宋体"/>
          <w:b/>
          <w:lang w:eastAsia="zh-CN"/>
        </w:rPr>
      </w:pPr>
      <w:r>
        <w:rPr>
          <w:rFonts w:hint="eastAsia" w:ascii="宋体" w:hAnsi="宋体"/>
          <w:b/>
          <w:lang w:eastAsia="zh-CN"/>
        </w:rPr>
        <w:t>致：中国葛洲坝集团三峡建设工程有限公司：</w:t>
      </w:r>
    </w:p>
    <w:p>
      <w:pPr>
        <w:pStyle w:val="11"/>
        <w:spacing w:line="240" w:lineRule="auto"/>
        <w:ind w:firstLine="480" w:firstLineChars="200"/>
        <w:rPr>
          <w:rFonts w:ascii="宋体" w:hAnsi="宋体"/>
          <w:b/>
          <w:lang w:eastAsia="zh-CN"/>
        </w:rPr>
      </w:pPr>
      <w:r>
        <w:rPr>
          <w:rFonts w:hint="eastAsia" w:ascii="宋体" w:hAnsi="宋体"/>
          <w:b/>
          <w:lang w:eastAsia="zh-CN"/>
        </w:rPr>
        <w:t>拍拍在线（北京）拍卖有限公司：</w:t>
      </w:r>
    </w:p>
    <w:p>
      <w:pPr>
        <w:pStyle w:val="12"/>
        <w:shd w:val="clear" w:color="auto" w:fill="FFFFFF"/>
        <w:spacing w:before="0" w:beforeAutospacing="0" w:after="0" w:afterAutospacing="0"/>
        <w:ind w:firstLine="463"/>
        <w:rPr>
          <w:rFonts w:eastAsiaTheme="minorEastAsia" w:cstheme="minorBidi"/>
          <w:kern w:val="2"/>
        </w:rPr>
      </w:pPr>
      <w:r>
        <w:rPr>
          <w:rFonts w:hint="eastAsia" w:eastAsiaTheme="minorEastAsia" w:cstheme="minorBidi"/>
          <w:kern w:val="2"/>
        </w:rPr>
        <w:t>现申请参加名称中国葛洲坝集团三峡建设工程有限公司钢筋废料一批（大别山）（以下简称“标的资产”）网络竞价活动，声明同意如下：</w:t>
      </w:r>
    </w:p>
    <w:p>
      <w:pPr>
        <w:widowControl/>
        <w:numPr>
          <w:ilvl w:val="0"/>
          <w:numId w:val="1"/>
        </w:numPr>
        <w:ind w:left="0" w:firstLine="480"/>
        <w:jc w:val="left"/>
        <w:rPr>
          <w:rFonts w:ascii="宋体" w:hAnsi="宋体"/>
          <w:sz w:val="24"/>
          <w:szCs w:val="24"/>
        </w:rPr>
      </w:pPr>
      <w:r>
        <w:rPr>
          <w:rFonts w:hint="eastAsia" w:ascii="宋体" w:hAnsi="宋体"/>
          <w:sz w:val="24"/>
          <w:szCs w:val="24"/>
        </w:rPr>
        <w:t>我方已进行并完成针对本项目标的的尽职勘验工作，充分了解并接受标的资产在</w:t>
      </w:r>
      <w:r>
        <w:rPr>
          <w:rFonts w:hint="eastAsia" w:ascii="宋体" w:hAnsi="宋体"/>
          <w:sz w:val="24"/>
          <w:szCs w:val="24"/>
          <w:lang w:val="en-US" w:eastAsia="zh-CN"/>
        </w:rPr>
        <w:t>拍拍在线</w:t>
      </w:r>
      <w:r>
        <w:rPr>
          <w:rFonts w:hint="eastAsia" w:ascii="宋体" w:hAnsi="宋体"/>
          <w:sz w:val="24"/>
          <w:szCs w:val="24"/>
        </w:rPr>
        <w:t>（</w:t>
      </w:r>
      <w:r>
        <w:rPr>
          <w:rFonts w:hint="eastAsia" w:ascii="Verdana" w:hAnsi="Verdana" w:eastAsia="宋体" w:cs="Verdana"/>
          <w:i w:val="0"/>
          <w:iCs w:val="0"/>
          <w:caps w:val="0"/>
          <w:spacing w:val="0"/>
          <w:sz w:val="18"/>
          <w:szCs w:val="18"/>
          <w:u w:val="none"/>
        </w:rPr>
        <w:t>www.ppzxchina.cn</w:t>
      </w:r>
      <w:r>
        <w:rPr>
          <w:rFonts w:hint="eastAsia" w:ascii="宋体" w:hAnsi="宋体"/>
          <w:sz w:val="24"/>
          <w:szCs w:val="24"/>
        </w:rPr>
        <w:t>）信息发布的全部内容和要求。所涉及标的资产严格以现场实物状态进行交易。我方办理竞价登记手续即视为对标的现状的充分了解与认可。</w:t>
      </w:r>
    </w:p>
    <w:p>
      <w:pPr>
        <w:widowControl/>
        <w:numPr>
          <w:ilvl w:val="0"/>
          <w:numId w:val="1"/>
        </w:numPr>
        <w:ind w:left="0" w:firstLine="480"/>
        <w:jc w:val="left"/>
        <w:rPr>
          <w:rFonts w:ascii="宋体" w:hAnsi="宋体"/>
          <w:sz w:val="24"/>
          <w:szCs w:val="24"/>
        </w:rPr>
      </w:pPr>
      <w:r>
        <w:rPr>
          <w:rFonts w:hint="eastAsia" w:ascii="宋体" w:hAnsi="宋体"/>
          <w:sz w:val="24"/>
          <w:szCs w:val="24"/>
        </w:rPr>
        <w:t>出现下列情况之一者，我方自愿被扣除已交纳的交易保证金并承担相应违约责任：</w:t>
      </w:r>
      <w:bookmarkStart w:id="0" w:name="_Hlt36897317"/>
      <w:bookmarkEnd w:id="0"/>
      <w:r>
        <w:rPr>
          <w:rFonts w:hint="eastAsia" w:ascii="宋体" w:hAnsi="宋体"/>
          <w:sz w:val="24"/>
          <w:szCs w:val="24"/>
        </w:rPr>
        <w:t>①经合规程序被确定为最终买受人后未能按时签订相关《实物资产交易合同》（以转让方提供为准）以及未及时付清交易预付价款的；②进入竞价程序，如所有竞买人均无应价；③《竞买须知及规则》中规定的竞买人违约的其他情况。</w:t>
      </w:r>
    </w:p>
    <w:p>
      <w:pPr>
        <w:widowControl/>
        <w:numPr>
          <w:ilvl w:val="0"/>
          <w:numId w:val="1"/>
        </w:numPr>
        <w:ind w:left="0" w:firstLine="480"/>
        <w:jc w:val="left"/>
        <w:rPr>
          <w:rFonts w:ascii="宋体" w:hAnsi="宋体"/>
          <w:sz w:val="24"/>
          <w:szCs w:val="24"/>
        </w:rPr>
      </w:pPr>
      <w:r>
        <w:rPr>
          <w:rFonts w:hint="eastAsia" w:ascii="宋体" w:hAnsi="宋体"/>
          <w:sz w:val="24"/>
          <w:szCs w:val="24"/>
        </w:rPr>
        <w:t>本方同意，发生违约行为，无条件同意转让方收回标的再行处置。</w:t>
      </w:r>
    </w:p>
    <w:p>
      <w:pPr>
        <w:widowControl/>
        <w:numPr>
          <w:ilvl w:val="0"/>
          <w:numId w:val="1"/>
        </w:numPr>
        <w:ind w:left="0" w:firstLine="480"/>
        <w:jc w:val="left"/>
        <w:rPr>
          <w:rFonts w:ascii="宋体" w:hAnsi="宋体"/>
          <w:sz w:val="24"/>
          <w:szCs w:val="24"/>
        </w:rPr>
      </w:pPr>
      <w:r>
        <w:rPr>
          <w:rFonts w:hint="eastAsia" w:ascii="宋体" w:hAnsi="宋体"/>
          <w:sz w:val="24"/>
          <w:szCs w:val="24"/>
        </w:rPr>
        <w:t>本方同意，本方被确定为买受人后，因本方原因未履行《竞买须知及规则》规定而违约时，仍交纳本次交易中买受人应当支付的交易服务费。</w:t>
      </w:r>
    </w:p>
    <w:p>
      <w:pPr>
        <w:pStyle w:val="21"/>
        <w:jc w:val="center"/>
        <w:rPr>
          <w:rFonts w:ascii="Tahoma" w:hAnsi="Tahoma" w:cs="Tahoma"/>
          <w:b/>
          <w:color w:val="000000"/>
          <w:sz w:val="32"/>
          <w:szCs w:val="32"/>
        </w:rPr>
      </w:pPr>
      <w:bookmarkStart w:id="1" w:name="_Toc487410356"/>
    </w:p>
    <w:p>
      <w:pPr>
        <w:pStyle w:val="21"/>
        <w:jc w:val="center"/>
        <w:rPr>
          <w:rFonts w:ascii="Tahoma" w:hAnsi="Tahoma" w:cs="Tahoma"/>
          <w:b/>
          <w:color w:val="000000"/>
          <w:sz w:val="32"/>
          <w:szCs w:val="32"/>
        </w:rPr>
      </w:pPr>
    </w:p>
    <w:p>
      <w:pPr>
        <w:pStyle w:val="21"/>
        <w:jc w:val="center"/>
        <w:rPr>
          <w:rFonts w:ascii="Tahoma" w:hAnsi="Tahoma" w:cs="Tahoma"/>
          <w:b/>
          <w:color w:val="000000"/>
          <w:sz w:val="24"/>
          <w:szCs w:val="24"/>
        </w:rPr>
      </w:pPr>
      <w:r>
        <w:rPr>
          <w:rFonts w:hint="eastAsia" w:ascii="Tahoma" w:hAnsi="Tahoma" w:cs="Tahoma"/>
          <w:b/>
          <w:color w:val="000000"/>
          <w:sz w:val="24"/>
          <w:szCs w:val="24"/>
        </w:rPr>
        <w:t>竞买规则及须知</w:t>
      </w:r>
    </w:p>
    <w:p>
      <w:pPr>
        <w:widowControl/>
        <w:numPr>
          <w:ilvl w:val="0"/>
          <w:numId w:val="0"/>
        </w:numPr>
        <w:spacing w:before="100" w:beforeAutospacing="1" w:after="100" w:afterAutospacing="1"/>
        <w:rPr>
          <w:rFonts w:ascii="宋体" w:hAnsi="宋体"/>
          <w:sz w:val="15"/>
          <w:szCs w:val="15"/>
        </w:rPr>
      </w:pPr>
      <w:r>
        <w:rPr>
          <w:rFonts w:hint="eastAsia" w:ascii="宋体" w:hAnsi="宋体"/>
          <w:sz w:val="15"/>
          <w:szCs w:val="15"/>
        </w:rPr>
        <w:t>本公司受委托人:</w:t>
      </w:r>
      <w:r>
        <w:rPr>
          <w:rFonts w:hint="eastAsia" w:ascii="宋体" w:hAnsi="宋体" w:eastAsia="宋体" w:cs="Times New Roman"/>
          <w:sz w:val="15"/>
          <w:szCs w:val="15"/>
        </w:rPr>
        <w:t>中国葛洲坝集团三峡建设工程有限公司委托在</w:t>
      </w:r>
      <w:r>
        <w:rPr>
          <w:rFonts w:hint="eastAsia" w:ascii="宋体" w:hAnsi="宋体" w:eastAsia="宋体" w:cs="Times New Roman"/>
          <w:sz w:val="15"/>
          <w:szCs w:val="15"/>
        </w:rPr>
        <w:fldChar w:fldCharType="begin"/>
      </w:r>
      <w:r>
        <w:rPr>
          <w:rFonts w:hint="eastAsia" w:ascii="宋体" w:hAnsi="宋体" w:eastAsia="宋体" w:cs="Times New Roman"/>
          <w:sz w:val="15"/>
          <w:szCs w:val="15"/>
        </w:rPr>
        <w:instrText xml:space="preserve"> HYPERLINK "http://www.ppzxchina.cn" </w:instrText>
      </w:r>
      <w:r>
        <w:rPr>
          <w:rFonts w:hint="eastAsia" w:ascii="宋体" w:hAnsi="宋体" w:eastAsia="宋体" w:cs="Times New Roman"/>
          <w:sz w:val="15"/>
          <w:szCs w:val="15"/>
        </w:rPr>
        <w:fldChar w:fldCharType="separate"/>
      </w:r>
      <w:r>
        <w:rPr>
          <w:rFonts w:hint="eastAsia" w:ascii="宋体" w:hAnsi="宋体" w:eastAsia="宋体" w:cs="Times New Roman"/>
          <w:sz w:val="15"/>
          <w:szCs w:val="15"/>
        </w:rPr>
        <w:t>http://www.ppzxchina.cn</w:t>
      </w:r>
      <w:r>
        <w:rPr>
          <w:rFonts w:hint="eastAsia" w:ascii="宋体" w:hAnsi="宋体" w:eastAsia="宋体" w:cs="Times New Roman"/>
          <w:sz w:val="15"/>
          <w:szCs w:val="15"/>
        </w:rPr>
        <w:fldChar w:fldCharType="end"/>
      </w:r>
      <w:r>
        <w:rPr>
          <w:rFonts w:hint="eastAsia" w:ascii="宋体" w:hAnsi="宋体" w:eastAsia="宋体" w:cs="Times New Roman"/>
          <w:sz w:val="15"/>
          <w:szCs w:val="15"/>
        </w:rPr>
        <w:t>以网络竞价方式处置</w:t>
      </w:r>
      <w:r>
        <w:rPr>
          <w:rFonts w:hint="eastAsia" w:ascii="宋体" w:hAnsi="宋体" w:eastAsia="宋体" w:cs="Times New Roman"/>
          <w:sz w:val="15"/>
          <w:szCs w:val="15"/>
          <w:lang w:val="en-US" w:eastAsia="zh-CN"/>
        </w:rPr>
        <w:t>中国葛洲坝集团三峡建设工程有限公司钢筋废料一批（大别山）</w:t>
      </w:r>
      <w:r>
        <w:rPr>
          <w:rFonts w:hint="eastAsia" w:ascii="宋体" w:hAnsi="宋体"/>
          <w:sz w:val="15"/>
          <w:szCs w:val="15"/>
        </w:rPr>
        <w:t xml:space="preserve">，为切实保障拍卖当事人的权利和义务，根据《中华人民共和国民法典》、《中华人民共和国拍卖法》、《中国人民共和国电子商务法》等法律法规，本着公开、公平、公正、诚实信用的原则，特制定本须知及规则，共同遵守。 </w:t>
      </w:r>
    </w:p>
    <w:p>
      <w:pPr>
        <w:rPr>
          <w:rFonts w:hint="eastAsia" w:ascii="宋体" w:hAnsi="宋体"/>
          <w:sz w:val="15"/>
          <w:szCs w:val="15"/>
        </w:rPr>
      </w:pPr>
      <w:r>
        <w:rPr>
          <w:rFonts w:hint="eastAsia" w:ascii="宋体" w:hAnsi="宋体"/>
          <w:sz w:val="15"/>
          <w:szCs w:val="15"/>
        </w:rPr>
        <w:t>1、本次网络竞价活动在公开、平等竞争的条件下进行，一切活动都具备法律效力。</w:t>
      </w:r>
    </w:p>
    <w:p>
      <w:pPr>
        <w:rPr>
          <w:rFonts w:ascii="宋体" w:hAnsi="宋体"/>
          <w:sz w:val="15"/>
          <w:szCs w:val="15"/>
        </w:rPr>
      </w:pPr>
      <w:r>
        <w:rPr>
          <w:rFonts w:hint="eastAsia" w:ascii="宋体" w:hAnsi="宋体"/>
          <w:sz w:val="15"/>
          <w:szCs w:val="15"/>
        </w:rPr>
        <w:t>2、竞买人条件：具备完全民事行为能力企业法人或自然人。</w:t>
      </w:r>
    </w:p>
    <w:p>
      <w:pPr>
        <w:rPr>
          <w:rFonts w:hint="eastAsia" w:ascii="宋体" w:hAnsi="宋体" w:eastAsia="宋体" w:cs="Times New Roman"/>
          <w:kern w:val="2"/>
          <w:sz w:val="15"/>
          <w:szCs w:val="15"/>
          <w:lang w:val="en-US" w:eastAsia="zh-CN" w:bidi="ar-SA"/>
        </w:rPr>
      </w:pPr>
      <w:r>
        <w:rPr>
          <w:rFonts w:hint="eastAsia" w:ascii="宋体" w:hAnsi="宋体"/>
          <w:sz w:val="15"/>
          <w:szCs w:val="15"/>
          <w:lang w:val="en-US" w:eastAsia="zh-CN"/>
        </w:rPr>
        <w:t>3</w:t>
      </w:r>
      <w:r>
        <w:rPr>
          <w:rFonts w:hint="eastAsia" w:ascii="宋体" w:hAnsi="宋体"/>
          <w:sz w:val="15"/>
          <w:szCs w:val="15"/>
        </w:rPr>
        <w:t>、</w:t>
      </w:r>
      <w:r>
        <w:rPr>
          <w:rFonts w:hint="eastAsia" w:ascii="宋体" w:hAnsi="宋体" w:eastAsia="宋体" w:cs="Times New Roman"/>
          <w:kern w:val="2"/>
          <w:sz w:val="15"/>
          <w:szCs w:val="15"/>
          <w:lang w:val="en-US" w:eastAsia="zh-CN" w:bidi="ar-SA"/>
        </w:rPr>
        <w:t>意向竞买人在2024年3月21日12时前通过微信方式（微信号：13520313174）提出踏勘申请，收到拍拍在线（北京）拍卖有限公司回函后按规定的预展时间和要求进行现场踏勘。</w:t>
      </w:r>
    </w:p>
    <w:p>
      <w:pPr>
        <w:rPr>
          <w:rFonts w:hint="eastAsia" w:ascii="宋体" w:hAnsi="宋体"/>
          <w:sz w:val="15"/>
          <w:szCs w:val="15"/>
        </w:rPr>
      </w:pPr>
      <w:r>
        <w:rPr>
          <w:rFonts w:hint="eastAsia" w:ascii="宋体" w:hAnsi="宋体" w:eastAsia="宋体" w:cs="Times New Roman"/>
          <w:kern w:val="2"/>
          <w:sz w:val="15"/>
          <w:szCs w:val="15"/>
          <w:lang w:val="en-US" w:eastAsia="zh-CN" w:bidi="ar-SA"/>
        </w:rPr>
        <w:t>4、</w:t>
      </w:r>
      <w:r>
        <w:rPr>
          <w:rFonts w:hint="eastAsia" w:ascii="宋体" w:hAnsi="宋体"/>
          <w:sz w:val="15"/>
          <w:szCs w:val="15"/>
        </w:rPr>
        <w:t>意向竞买人报名参加竞买的，视为无异议，也即表明竞买人已全部了解约定，并愿意履行约定。委托人不作任何瑕疵担保及保证。</w:t>
      </w:r>
    </w:p>
    <w:p>
      <w:pPr>
        <w:rPr>
          <w:rFonts w:hint="eastAsia" w:ascii="宋体" w:hAnsi="宋体"/>
          <w:sz w:val="15"/>
          <w:szCs w:val="15"/>
        </w:rPr>
      </w:pPr>
      <w:r>
        <w:rPr>
          <w:rFonts w:hint="eastAsia" w:ascii="宋体" w:hAnsi="宋体"/>
          <w:sz w:val="15"/>
          <w:szCs w:val="15"/>
        </w:rPr>
        <w:t>5、意向竞买人在202</w:t>
      </w:r>
      <w:r>
        <w:rPr>
          <w:rFonts w:hint="eastAsia" w:ascii="宋体" w:hAnsi="宋体"/>
          <w:sz w:val="15"/>
          <w:szCs w:val="15"/>
          <w:lang w:val="en-US" w:eastAsia="zh-CN"/>
        </w:rPr>
        <w:t>4</w:t>
      </w:r>
      <w:r>
        <w:rPr>
          <w:rFonts w:hint="eastAsia" w:ascii="宋体" w:hAnsi="宋体"/>
          <w:sz w:val="15"/>
          <w:szCs w:val="15"/>
        </w:rPr>
        <w:t>年</w:t>
      </w:r>
      <w:r>
        <w:rPr>
          <w:rFonts w:hint="eastAsia" w:ascii="宋体" w:hAnsi="宋体"/>
          <w:sz w:val="15"/>
          <w:szCs w:val="15"/>
          <w:lang w:val="en-US" w:eastAsia="zh-CN"/>
        </w:rPr>
        <w:t>3</w:t>
      </w:r>
      <w:r>
        <w:rPr>
          <w:rFonts w:hint="eastAsia" w:ascii="宋体" w:hAnsi="宋体"/>
          <w:sz w:val="15"/>
          <w:szCs w:val="15"/>
        </w:rPr>
        <w:t>月</w:t>
      </w:r>
      <w:r>
        <w:rPr>
          <w:rFonts w:hint="eastAsia" w:ascii="宋体" w:hAnsi="宋体"/>
          <w:sz w:val="15"/>
          <w:szCs w:val="15"/>
          <w:lang w:val="en-US" w:eastAsia="zh-CN"/>
        </w:rPr>
        <w:t>25</w:t>
      </w:r>
      <w:r>
        <w:rPr>
          <w:rFonts w:hint="eastAsia" w:ascii="宋体" w:hAnsi="宋体"/>
          <w:sz w:val="15"/>
          <w:szCs w:val="15"/>
        </w:rPr>
        <w:t>日17时前完成：账号注册；上传真实有效审验通过相关要求资质证明，在相应竞价页面点击报名交保证金（已到账时间为准）；通过在线方式支付</w:t>
      </w:r>
      <w:r>
        <w:rPr>
          <w:rFonts w:hint="eastAsia" w:ascii="宋体" w:hAnsi="宋体"/>
          <w:sz w:val="15"/>
          <w:szCs w:val="15"/>
          <w:lang w:val="en-US" w:eastAsia="zh-CN"/>
        </w:rPr>
        <w:t>20</w:t>
      </w:r>
      <w:r>
        <w:rPr>
          <w:rFonts w:hint="eastAsia" w:ascii="宋体" w:hAnsi="宋体"/>
          <w:sz w:val="15"/>
          <w:szCs w:val="15"/>
        </w:rPr>
        <w:t>万元竞买保证金获得竞买资格。</w:t>
      </w:r>
    </w:p>
    <w:p>
      <w:pPr>
        <w:rPr>
          <w:rFonts w:hint="eastAsia" w:ascii="宋体" w:hAnsi="宋体"/>
          <w:sz w:val="15"/>
          <w:szCs w:val="15"/>
        </w:rPr>
      </w:pPr>
      <w:r>
        <w:rPr>
          <w:rFonts w:hint="eastAsia" w:ascii="宋体" w:hAnsi="宋体"/>
          <w:sz w:val="15"/>
          <w:szCs w:val="15"/>
        </w:rPr>
        <w:t>6、成交后，买受人支付</w:t>
      </w:r>
      <w:r>
        <w:rPr>
          <w:rFonts w:hint="eastAsia" w:ascii="宋体" w:hAnsi="宋体"/>
          <w:sz w:val="15"/>
          <w:szCs w:val="15"/>
          <w:lang w:val="en-US" w:eastAsia="zh-CN"/>
        </w:rPr>
        <w:t>20</w:t>
      </w:r>
      <w:r>
        <w:rPr>
          <w:rFonts w:hint="eastAsia" w:ascii="宋体" w:hAnsi="宋体"/>
          <w:sz w:val="15"/>
          <w:szCs w:val="15"/>
        </w:rPr>
        <w:t>万保证金，成交后</w:t>
      </w:r>
      <w:r>
        <w:rPr>
          <w:rFonts w:hint="eastAsia" w:ascii="宋体" w:hAnsi="宋体"/>
          <w:sz w:val="15"/>
          <w:szCs w:val="15"/>
          <w:lang w:val="en-US" w:eastAsia="zh-CN"/>
        </w:rPr>
        <w:t>20</w:t>
      </w:r>
      <w:r>
        <w:rPr>
          <w:rFonts w:hint="eastAsia" w:ascii="宋体" w:hAnsi="宋体"/>
          <w:sz w:val="15"/>
          <w:szCs w:val="15"/>
        </w:rPr>
        <w:t>万元保证金自动转为履约保证金，在买受人提取完标的后签署《移交确认书》后返还。</w:t>
      </w:r>
    </w:p>
    <w:p>
      <w:pPr>
        <w:rPr>
          <w:rFonts w:ascii="宋体" w:hAnsi="宋体"/>
          <w:sz w:val="15"/>
          <w:szCs w:val="15"/>
        </w:rPr>
      </w:pPr>
      <w:r>
        <w:rPr>
          <w:rFonts w:ascii="宋体" w:hAnsi="宋体"/>
          <w:sz w:val="15"/>
          <w:szCs w:val="15"/>
        </w:rPr>
        <w:t>7、买受人在2023年</w:t>
      </w:r>
      <w:r>
        <w:rPr>
          <w:rFonts w:hint="eastAsia" w:ascii="宋体" w:hAnsi="宋体"/>
          <w:sz w:val="15"/>
          <w:szCs w:val="15"/>
          <w:lang w:val="en-US" w:eastAsia="zh-CN"/>
        </w:rPr>
        <w:t>3</w:t>
      </w:r>
      <w:r>
        <w:rPr>
          <w:rFonts w:ascii="宋体" w:hAnsi="宋体"/>
          <w:sz w:val="15"/>
          <w:szCs w:val="15"/>
        </w:rPr>
        <w:t>月</w:t>
      </w:r>
      <w:r>
        <w:rPr>
          <w:rFonts w:hint="eastAsia" w:ascii="宋体" w:hAnsi="宋体"/>
          <w:sz w:val="15"/>
          <w:szCs w:val="15"/>
          <w:lang w:val="en-US" w:eastAsia="zh-CN"/>
        </w:rPr>
        <w:t>29</w:t>
      </w:r>
      <w:r>
        <w:rPr>
          <w:rFonts w:ascii="宋体" w:hAnsi="宋体"/>
          <w:sz w:val="15"/>
          <w:szCs w:val="15"/>
        </w:rPr>
        <w:t>日17时前完成：买受人通过自身账户</w:t>
      </w:r>
      <w:r>
        <w:rPr>
          <w:rFonts w:hint="eastAsia" w:ascii="宋体" w:hAnsi="宋体"/>
          <w:sz w:val="15"/>
          <w:szCs w:val="15"/>
          <w:lang w:val="en-US" w:eastAsia="zh-CN"/>
        </w:rPr>
        <w:t>向我公司指定账户</w:t>
      </w:r>
      <w:r>
        <w:rPr>
          <w:rFonts w:ascii="宋体" w:hAnsi="宋体"/>
          <w:sz w:val="15"/>
          <w:szCs w:val="15"/>
        </w:rPr>
        <w:t>支付</w:t>
      </w:r>
      <w:r>
        <w:rPr>
          <w:rFonts w:hint="eastAsia" w:ascii="宋体" w:hAnsi="宋体"/>
          <w:sz w:val="15"/>
          <w:szCs w:val="15"/>
        </w:rPr>
        <w:t>预估吨数</w:t>
      </w:r>
      <w:r>
        <w:rPr>
          <w:rFonts w:hint="eastAsia" w:ascii="宋体" w:hAnsi="宋体"/>
          <w:sz w:val="15"/>
          <w:szCs w:val="15"/>
          <w:lang w:val="en-US" w:eastAsia="zh-CN"/>
        </w:rPr>
        <w:t>26</w:t>
      </w:r>
      <w:r>
        <w:rPr>
          <w:rFonts w:ascii="宋体" w:hAnsi="宋体"/>
          <w:sz w:val="15"/>
          <w:szCs w:val="15"/>
        </w:rPr>
        <w:t>0</w:t>
      </w:r>
      <w:r>
        <w:rPr>
          <w:rFonts w:hint="eastAsia" w:ascii="宋体" w:hAnsi="宋体"/>
          <w:sz w:val="15"/>
          <w:szCs w:val="15"/>
        </w:rPr>
        <w:t>吨乘以最终成交单吨价格的总成交价款。</w:t>
      </w:r>
      <w:r>
        <w:rPr>
          <w:rFonts w:ascii="宋体" w:hAnsi="宋体"/>
          <w:sz w:val="15"/>
          <w:szCs w:val="15"/>
        </w:rPr>
        <w:t>标的以现场实物过磅为准，当买受人预付款不足以抵扣全部交易价款时，买受人在接到拍拍在线（北京）拍卖有限公司通知当日后1个工作日内，通过自身对公账户向</w:t>
      </w:r>
      <w:r>
        <w:rPr>
          <w:rFonts w:hint="eastAsia" w:ascii="宋体" w:hAnsi="宋体"/>
          <w:sz w:val="15"/>
          <w:szCs w:val="15"/>
        </w:rPr>
        <w:t>我公司</w:t>
      </w:r>
      <w:r>
        <w:rPr>
          <w:rFonts w:ascii="宋体" w:hAnsi="宋体"/>
          <w:sz w:val="15"/>
          <w:szCs w:val="15"/>
        </w:rPr>
        <w:t>以每次1</w:t>
      </w:r>
      <w:r>
        <w:rPr>
          <w:rFonts w:hint="eastAsia" w:ascii="宋体" w:hAnsi="宋体"/>
          <w:sz w:val="15"/>
          <w:szCs w:val="15"/>
          <w:lang w:val="en-US" w:eastAsia="zh-CN"/>
        </w:rPr>
        <w:t>0</w:t>
      </w:r>
      <w:r>
        <w:rPr>
          <w:rFonts w:ascii="宋体" w:hAnsi="宋体"/>
          <w:sz w:val="15"/>
          <w:szCs w:val="15"/>
        </w:rPr>
        <w:t>万元进行预交，未按时缴纳超出部分交易价款的扣除全部</w:t>
      </w:r>
      <w:r>
        <w:rPr>
          <w:rFonts w:hint="eastAsia" w:ascii="宋体" w:hAnsi="宋体"/>
          <w:sz w:val="15"/>
          <w:szCs w:val="15"/>
        </w:rPr>
        <w:t>履约</w:t>
      </w:r>
      <w:r>
        <w:rPr>
          <w:rFonts w:ascii="宋体" w:hAnsi="宋体"/>
          <w:sz w:val="15"/>
          <w:szCs w:val="15"/>
        </w:rPr>
        <w:t>保证金（</w:t>
      </w:r>
      <w:r>
        <w:rPr>
          <w:rFonts w:hint="eastAsia" w:ascii="宋体" w:hAnsi="宋体"/>
          <w:sz w:val="15"/>
          <w:szCs w:val="15"/>
          <w:lang w:val="en-US" w:eastAsia="zh-CN"/>
        </w:rPr>
        <w:t>20</w:t>
      </w:r>
      <w:r>
        <w:rPr>
          <w:rFonts w:ascii="宋体" w:hAnsi="宋体"/>
          <w:sz w:val="15"/>
          <w:szCs w:val="15"/>
        </w:rPr>
        <w:t>万元），剩余标的资产收回再次拍卖。</w:t>
      </w:r>
    </w:p>
    <w:p>
      <w:pPr>
        <w:rPr>
          <w:rFonts w:hint="eastAsia" w:ascii="宋体" w:hAnsi="宋体"/>
          <w:sz w:val="15"/>
          <w:szCs w:val="15"/>
        </w:rPr>
      </w:pPr>
      <w:r>
        <w:rPr>
          <w:rFonts w:ascii="宋体" w:hAnsi="宋体"/>
          <w:sz w:val="15"/>
          <w:szCs w:val="15"/>
        </w:rPr>
        <w:t>8、买受人在202</w:t>
      </w:r>
      <w:r>
        <w:rPr>
          <w:rFonts w:hint="eastAsia" w:ascii="宋体" w:hAnsi="宋体"/>
          <w:sz w:val="15"/>
          <w:szCs w:val="15"/>
          <w:lang w:val="en-US" w:eastAsia="zh-CN"/>
        </w:rPr>
        <w:t>4</w:t>
      </w:r>
      <w:r>
        <w:rPr>
          <w:rFonts w:ascii="宋体" w:hAnsi="宋体"/>
          <w:sz w:val="15"/>
          <w:szCs w:val="15"/>
        </w:rPr>
        <w:t>年</w:t>
      </w:r>
      <w:r>
        <w:rPr>
          <w:rFonts w:hint="eastAsia" w:ascii="宋体" w:hAnsi="宋体"/>
          <w:sz w:val="15"/>
          <w:szCs w:val="15"/>
          <w:lang w:val="en-US" w:eastAsia="zh-CN"/>
        </w:rPr>
        <w:t>3</w:t>
      </w:r>
      <w:r>
        <w:rPr>
          <w:rFonts w:ascii="宋体" w:hAnsi="宋体"/>
          <w:sz w:val="15"/>
          <w:szCs w:val="15"/>
        </w:rPr>
        <w:t>月</w:t>
      </w:r>
      <w:r>
        <w:rPr>
          <w:rFonts w:hint="eastAsia" w:ascii="宋体" w:hAnsi="宋体"/>
          <w:sz w:val="15"/>
          <w:szCs w:val="15"/>
          <w:lang w:val="en-US" w:eastAsia="zh-CN"/>
        </w:rPr>
        <w:t>29</w:t>
      </w:r>
      <w:r>
        <w:rPr>
          <w:rFonts w:ascii="宋体" w:hAnsi="宋体"/>
          <w:sz w:val="15"/>
          <w:szCs w:val="15"/>
        </w:rPr>
        <w:t>日17时前完成：向拍拍在线（北京）拍卖有限公司申请签署《实物资产交易凭证》，买受人在接到委托人通知签订《实物资产交易合同》（以委托人提供为准）的3个自然日内，由授权指定唯一现场作业负责人（法人除外）携《实物资产交易凭证》、相关资质证明到委托人指定地点签订《实物资产交易合同》（以委托人提供为准）。未按时申请签署、递交上述文件的，每逾期1个工作日扣除5%的</w:t>
      </w:r>
      <w:r>
        <w:rPr>
          <w:rFonts w:hint="eastAsia" w:ascii="宋体" w:hAnsi="宋体"/>
          <w:sz w:val="15"/>
          <w:szCs w:val="15"/>
        </w:rPr>
        <w:t>履约</w:t>
      </w:r>
      <w:r>
        <w:rPr>
          <w:rFonts w:ascii="宋体" w:hAnsi="宋体"/>
          <w:sz w:val="15"/>
          <w:szCs w:val="15"/>
        </w:rPr>
        <w:t>保证金（</w:t>
      </w:r>
      <w:r>
        <w:rPr>
          <w:rFonts w:hint="eastAsia" w:ascii="宋体" w:hAnsi="宋体"/>
          <w:sz w:val="15"/>
          <w:szCs w:val="15"/>
          <w:lang w:val="en-US" w:eastAsia="zh-CN"/>
        </w:rPr>
        <w:t>1</w:t>
      </w:r>
      <w:r>
        <w:rPr>
          <w:rFonts w:ascii="宋体" w:hAnsi="宋体"/>
          <w:sz w:val="15"/>
          <w:szCs w:val="15"/>
        </w:rPr>
        <w:t>万元），逾期10个工作日扣除全部保证金（</w:t>
      </w:r>
      <w:r>
        <w:rPr>
          <w:rFonts w:hint="eastAsia" w:ascii="宋体" w:hAnsi="宋体"/>
          <w:sz w:val="15"/>
          <w:szCs w:val="15"/>
          <w:lang w:val="en-US" w:eastAsia="zh-CN"/>
        </w:rPr>
        <w:t>20</w:t>
      </w:r>
      <w:r>
        <w:rPr>
          <w:rFonts w:ascii="宋体" w:hAnsi="宋体"/>
          <w:sz w:val="15"/>
          <w:szCs w:val="15"/>
        </w:rPr>
        <w:t>万元），标的资产收回再次拍卖。</w:t>
      </w:r>
    </w:p>
    <w:p>
      <w:pPr>
        <w:rPr>
          <w:rFonts w:hint="eastAsia" w:ascii="宋体" w:hAnsi="宋体"/>
          <w:sz w:val="15"/>
          <w:szCs w:val="15"/>
        </w:rPr>
      </w:pPr>
      <w:r>
        <w:rPr>
          <w:rFonts w:hint="eastAsia" w:ascii="宋体" w:hAnsi="宋体"/>
          <w:sz w:val="15"/>
          <w:szCs w:val="15"/>
        </w:rPr>
        <w:t>9、竞价过程中，竞买人要认真严肃地进行报价并为自己的报价行为付相应的法律责任。</w:t>
      </w:r>
    </w:p>
    <w:p>
      <w:pPr>
        <w:rPr>
          <w:rFonts w:hint="eastAsia" w:ascii="宋体" w:hAnsi="宋体"/>
          <w:sz w:val="15"/>
          <w:szCs w:val="15"/>
        </w:rPr>
      </w:pPr>
      <w:r>
        <w:rPr>
          <w:rFonts w:hint="eastAsia" w:ascii="宋体" w:hAnsi="宋体"/>
          <w:sz w:val="15"/>
          <w:szCs w:val="15"/>
        </w:rPr>
        <w:t>10、意向竞买人在限时报价期间可自由出价，进入延时报价区间后，有任意竞买人出价，时间顺延一个延时周期，</w:t>
      </w:r>
    </w:p>
    <w:p>
      <w:pPr>
        <w:rPr>
          <w:rFonts w:hint="eastAsia" w:ascii="宋体" w:hAnsi="宋体"/>
          <w:sz w:val="15"/>
          <w:szCs w:val="15"/>
        </w:rPr>
      </w:pPr>
      <w:r>
        <w:rPr>
          <w:rFonts w:hint="eastAsia" w:ascii="宋体" w:hAnsi="宋体"/>
          <w:sz w:val="15"/>
          <w:szCs w:val="15"/>
        </w:rPr>
        <w:t>在新的延时周期内没有更高出价，当前最高出价的竞买人成为本项目的买受人。</w:t>
      </w:r>
    </w:p>
    <w:p>
      <w:pPr>
        <w:rPr>
          <w:rFonts w:hint="eastAsia" w:ascii="宋体" w:hAnsi="宋体" w:eastAsia="宋体" w:cs="Times New Roman"/>
          <w:sz w:val="15"/>
          <w:szCs w:val="15"/>
        </w:rPr>
      </w:pPr>
      <w:r>
        <w:rPr>
          <w:rFonts w:hint="eastAsia" w:ascii="宋体" w:hAnsi="宋体"/>
          <w:sz w:val="15"/>
          <w:szCs w:val="15"/>
        </w:rPr>
        <w:t>11、买受人作违约处置的，其所交保证金全部扣除，标的资产收回再行处置，按《中华人民共和国拍卖法》等有关规定承担赔偿责任（包括但不限于该标的最终成交价款与本次竞价成交价格之间的差价及因此产生的相关费用，委托人</w:t>
      </w:r>
      <w:r>
        <w:rPr>
          <w:rFonts w:hint="eastAsia" w:ascii="宋体" w:hAnsi="宋体" w:eastAsia="宋体" w:cs="Times New Roman"/>
          <w:sz w:val="15"/>
          <w:szCs w:val="15"/>
        </w:rPr>
        <w:t>有权从买受人履约保证金中直接扣除）。</w:t>
      </w:r>
    </w:p>
    <w:p>
      <w:pPr>
        <w:rPr>
          <w:rFonts w:hint="eastAsia" w:ascii="宋体" w:hAnsi="宋体"/>
          <w:sz w:val="15"/>
          <w:szCs w:val="15"/>
        </w:rPr>
      </w:pPr>
      <w:r>
        <w:rPr>
          <w:rFonts w:hint="eastAsia" w:ascii="宋体" w:hAnsi="宋体" w:eastAsia="宋体" w:cs="Times New Roman"/>
          <w:sz w:val="15"/>
          <w:szCs w:val="15"/>
        </w:rPr>
        <w:t>12、买受人交易服务费按最终成交单吨价格</w:t>
      </w:r>
      <w:r>
        <w:rPr>
          <w:rFonts w:hint="eastAsia" w:ascii="宋体" w:hAnsi="宋体" w:eastAsia="宋体" w:cs="Times New Roman"/>
          <w:sz w:val="15"/>
          <w:szCs w:val="15"/>
          <w:lang w:val="en-US" w:eastAsia="zh-CN"/>
        </w:rPr>
        <w:t>乘以实际过磅吨数</w:t>
      </w:r>
      <w:r>
        <w:rPr>
          <w:rFonts w:hint="eastAsia" w:ascii="宋体" w:hAnsi="宋体" w:eastAsia="宋体" w:cs="Times New Roman"/>
          <w:sz w:val="15"/>
          <w:szCs w:val="15"/>
        </w:rPr>
        <w:t>的总成交价款的1%支付</w:t>
      </w:r>
      <w:r>
        <w:rPr>
          <w:rFonts w:hint="eastAsia" w:ascii="宋体" w:hAnsi="宋体"/>
          <w:sz w:val="15"/>
          <w:szCs w:val="15"/>
        </w:rPr>
        <w:t>，交易服务费在标的</w:t>
      </w:r>
      <w:r>
        <w:rPr>
          <w:rFonts w:hint="eastAsia" w:ascii="宋体" w:hAnsi="宋体"/>
          <w:sz w:val="15"/>
          <w:szCs w:val="15"/>
          <w:lang w:val="en-US" w:eastAsia="zh-CN"/>
        </w:rPr>
        <w:t>移交完成后</w:t>
      </w:r>
      <w:r>
        <w:rPr>
          <w:rFonts w:hint="eastAsia" w:ascii="宋体" w:hAnsi="宋体"/>
          <w:sz w:val="15"/>
          <w:szCs w:val="15"/>
        </w:rPr>
        <w:t>3个工作日，通过自身账户支付至拍拍在线（北京）</w:t>
      </w:r>
      <w:r>
        <w:rPr>
          <w:rFonts w:hint="eastAsia" w:ascii="宋体" w:hAnsi="宋体"/>
          <w:sz w:val="15"/>
          <w:szCs w:val="15"/>
          <w:lang w:val="en-US" w:eastAsia="zh-CN"/>
        </w:rPr>
        <w:t>拍卖</w:t>
      </w:r>
      <w:r>
        <w:rPr>
          <w:rFonts w:hint="eastAsia" w:ascii="宋体" w:hAnsi="宋体"/>
          <w:sz w:val="15"/>
          <w:szCs w:val="15"/>
        </w:rPr>
        <w:t>有限公司（以成交后短信通知的账户为准）。</w:t>
      </w:r>
    </w:p>
    <w:p>
      <w:pPr>
        <w:rPr>
          <w:rFonts w:hint="eastAsia" w:ascii="宋体" w:hAnsi="宋体"/>
          <w:sz w:val="15"/>
          <w:szCs w:val="15"/>
        </w:rPr>
      </w:pPr>
      <w:r>
        <w:rPr>
          <w:rFonts w:hint="eastAsia" w:ascii="宋体" w:hAnsi="宋体"/>
          <w:sz w:val="15"/>
          <w:szCs w:val="15"/>
        </w:rPr>
        <w:t>13、竞价结束后，未竞买成功的竞买人的保证金在竞价结束后自动自动解冻，可用于参与其他项目或申请退还至竞买人自身对公账户，个人账户中可用余额在提出申请后10个工作日内无息返还；买受人交纳的保证金冻结转为履约保证金的，在标的按照规定移交完毕后1个工作日将</w:t>
      </w:r>
      <w:r>
        <w:rPr>
          <w:rFonts w:hint="eastAsia" w:ascii="宋体" w:hAnsi="宋体"/>
          <w:sz w:val="15"/>
          <w:szCs w:val="15"/>
          <w:lang w:val="en-US" w:eastAsia="zh-CN"/>
        </w:rPr>
        <w:t>20</w:t>
      </w:r>
      <w:r>
        <w:rPr>
          <w:rFonts w:hint="eastAsia" w:ascii="宋体" w:hAnsi="宋体"/>
          <w:sz w:val="15"/>
          <w:szCs w:val="15"/>
        </w:rPr>
        <w:t>万元履约保证金解冻退还至买受人自身对公账户。</w:t>
      </w:r>
    </w:p>
    <w:p>
      <w:pPr>
        <w:rPr>
          <w:rFonts w:hint="eastAsia" w:ascii="宋体" w:hAnsi="宋体"/>
          <w:sz w:val="15"/>
          <w:szCs w:val="15"/>
        </w:rPr>
      </w:pPr>
      <w:r>
        <w:rPr>
          <w:rFonts w:hint="eastAsia" w:ascii="宋体" w:hAnsi="宋体"/>
          <w:sz w:val="15"/>
          <w:szCs w:val="15"/>
        </w:rPr>
        <w:t>14、委托人有权在竞价开始前依法撤回标的资产，若因委托人撤拍或遇不可抗拒因素和其他特殊的重要原因，委托人有权取消或推迟本次网络竞价活动，由此对竞买人造成的损失由竞买人自负，竞买人不得向委托人追索保证金利息及其他任何费用与责任。</w:t>
      </w:r>
    </w:p>
    <w:p>
      <w:pPr>
        <w:rPr>
          <w:rFonts w:hint="eastAsia" w:ascii="宋体" w:hAnsi="宋体"/>
          <w:sz w:val="15"/>
          <w:szCs w:val="15"/>
        </w:rPr>
      </w:pPr>
    </w:p>
    <w:p>
      <w:pPr>
        <w:pStyle w:val="12"/>
        <w:shd w:val="clear" w:color="auto" w:fill="FFFFFF"/>
        <w:spacing w:before="0" w:beforeAutospacing="0" w:after="0" w:afterAutospacing="0" w:line="580" w:lineRule="exact"/>
        <w:ind w:firstLine="463"/>
        <w:rPr>
          <w:rFonts w:hint="eastAsia" w:cs="Times New Roman"/>
          <w:kern w:val="2"/>
          <w:sz w:val="15"/>
          <w:szCs w:val="15"/>
        </w:rPr>
      </w:pPr>
    </w:p>
    <w:p>
      <w:pPr>
        <w:rPr>
          <w:rFonts w:hint="eastAsia" w:ascii="宋体" w:hAnsi="宋体"/>
          <w:sz w:val="15"/>
          <w:szCs w:val="15"/>
        </w:rPr>
      </w:pPr>
    </w:p>
    <w:p>
      <w:pPr>
        <w:pStyle w:val="21"/>
        <w:jc w:val="center"/>
        <w:rPr>
          <w:rFonts w:hint="eastAsia" w:ascii="Tahoma" w:hAnsi="Tahoma" w:cs="Tahoma"/>
          <w:b/>
          <w:color w:val="000000"/>
          <w:sz w:val="24"/>
          <w:szCs w:val="24"/>
          <w:lang w:val="en-US" w:eastAsia="zh-CN"/>
        </w:rPr>
      </w:pPr>
      <w:r>
        <w:rPr>
          <w:rFonts w:hint="eastAsia" w:ascii="Tahoma" w:hAnsi="Tahoma" w:cs="Tahoma"/>
          <w:b/>
          <w:color w:val="000000"/>
          <w:sz w:val="24"/>
          <w:szCs w:val="24"/>
          <w:lang w:val="en-US" w:eastAsia="zh-CN"/>
        </w:rPr>
        <w:t>瑕疵说明</w:t>
      </w:r>
    </w:p>
    <w:p>
      <w:pPr>
        <w:rPr>
          <w:rFonts w:hint="eastAsia" w:ascii="宋体" w:hAnsi="宋体"/>
          <w:sz w:val="15"/>
          <w:szCs w:val="15"/>
          <w:lang w:val="en-US" w:eastAsia="zh-CN"/>
        </w:rPr>
      </w:pPr>
      <w:r>
        <w:rPr>
          <w:rFonts w:hint="eastAsia" w:ascii="宋体" w:hAnsi="宋体"/>
          <w:sz w:val="15"/>
          <w:szCs w:val="15"/>
          <w:lang w:val="en-US" w:eastAsia="zh-CN"/>
        </w:rPr>
        <w:t>1、标的资产均已不能使用，数量，种类、规格、品质、型号均以现场踏勘实物展示为准，委托人对该标的资产存在的瑕疵已履行告知义务，竞买人应自行充分考虑竞得标的资产所承担的所有风险。本公司及委托方均不承担瑕疵担保责任。</w:t>
      </w:r>
    </w:p>
    <w:p>
      <w:pPr>
        <w:rPr>
          <w:rFonts w:hint="eastAsia" w:ascii="宋体" w:hAnsi="宋体"/>
          <w:sz w:val="15"/>
          <w:szCs w:val="15"/>
          <w:lang w:val="en-US" w:eastAsia="zh-CN"/>
        </w:rPr>
      </w:pPr>
      <w:r>
        <w:rPr>
          <w:rFonts w:hint="eastAsia" w:ascii="宋体" w:hAnsi="宋体"/>
          <w:sz w:val="15"/>
          <w:szCs w:val="15"/>
          <w:lang w:val="en-US" w:eastAsia="zh-CN"/>
        </w:rPr>
        <w:t>2、竞买人在公告规定的咨询时间内有权了解标的资产的情况，竞买人对标的资产有异议的，应在申请竞买前提出。竞买人报名参加竞价的，视为无异议，也即表明竞买人已全部了解约定，并愿意履行约定。委托人不作任何瑕疵担保及保证。</w:t>
      </w:r>
    </w:p>
    <w:p>
      <w:pPr>
        <w:rPr>
          <w:rFonts w:hint="eastAsia" w:ascii="宋体" w:hAnsi="宋体"/>
          <w:sz w:val="15"/>
          <w:szCs w:val="15"/>
          <w:lang w:val="en-US" w:eastAsia="zh-CN"/>
        </w:rPr>
      </w:pPr>
      <w:r>
        <w:rPr>
          <w:rFonts w:hint="eastAsia" w:ascii="宋体" w:hAnsi="宋体"/>
          <w:sz w:val="15"/>
          <w:szCs w:val="15"/>
          <w:lang w:val="en-US" w:eastAsia="zh-CN"/>
        </w:rPr>
        <w:t>3、竞买人报名时需上传双方盖章签字的有效《现场踏勘确认书》、《竞买文件》。</w:t>
      </w:r>
    </w:p>
    <w:p>
      <w:pPr>
        <w:ind w:left="210" w:leftChars="100" w:firstLine="240" w:firstLineChars="100"/>
        <w:rPr>
          <w:rFonts w:ascii="宋体" w:hAnsi="宋体"/>
          <w:sz w:val="24"/>
          <w:szCs w:val="24"/>
        </w:rPr>
      </w:pPr>
    </w:p>
    <w:p>
      <w:pPr>
        <w:ind w:left="210" w:leftChars="100" w:firstLine="240" w:firstLineChars="100"/>
        <w:jc w:val="center"/>
        <w:rPr>
          <w:rFonts w:hint="eastAsia" w:ascii="宋体" w:hAnsi="宋体"/>
          <w:b/>
          <w:bCs/>
          <w:sz w:val="24"/>
          <w:szCs w:val="24"/>
        </w:rPr>
      </w:pPr>
      <w:r>
        <w:rPr>
          <w:rFonts w:hint="eastAsia" w:ascii="宋体" w:hAnsi="宋体"/>
          <w:b/>
          <w:bCs/>
          <w:sz w:val="24"/>
          <w:szCs w:val="24"/>
        </w:rPr>
        <w:t>标的资产</w:t>
      </w:r>
    </w:p>
    <w:p>
      <w:pPr>
        <w:ind w:left="210" w:leftChars="100" w:firstLine="240" w:firstLineChars="100"/>
        <w:rPr>
          <w:rFonts w:hint="eastAsia" w:ascii="宋体" w:hAnsi="宋体"/>
          <w:sz w:val="24"/>
          <w:szCs w:val="24"/>
        </w:rPr>
      </w:pPr>
    </w:p>
    <w:p>
      <w:pPr>
        <w:pStyle w:val="21"/>
        <w:ind w:firstLine="480" w:firstLineChars="200"/>
        <w:rPr>
          <w:rFonts w:hint="eastAsia" w:ascii="宋体" w:hAnsi="宋体"/>
          <w:sz w:val="24"/>
          <w:szCs w:val="24"/>
          <w:lang w:eastAsia="zh-CN"/>
        </w:rPr>
      </w:pPr>
      <w:r>
        <w:rPr>
          <w:rFonts w:hint="eastAsia" w:ascii="宋体" w:hAnsi="宋体"/>
          <w:sz w:val="24"/>
          <w:szCs w:val="24"/>
          <w:lang w:eastAsia="zh-CN"/>
        </w:rPr>
        <w:t>标的名称：中国葛洲坝集团三峡建设工程有限公司钢筋废料一批（大别山）本次拍卖标的一切均已现场踏勘展示为准。</w:t>
      </w:r>
    </w:p>
    <w:p>
      <w:pPr>
        <w:pStyle w:val="21"/>
        <w:ind w:firstLine="480" w:firstLineChars="200"/>
        <w:rPr>
          <w:rFonts w:hint="eastAsia" w:ascii="宋体" w:hAnsi="宋体"/>
          <w:sz w:val="24"/>
          <w:szCs w:val="24"/>
          <w:lang w:eastAsia="zh-CN"/>
        </w:rPr>
      </w:pPr>
      <w:r>
        <w:rPr>
          <w:rFonts w:hint="eastAsia" w:ascii="宋体" w:hAnsi="宋体"/>
          <w:sz w:val="24"/>
          <w:szCs w:val="24"/>
          <w:lang w:eastAsia="zh-CN"/>
        </w:rPr>
        <w:t>上传图片及视频信息仅供参考，买受人提取标的资产时以现场展示实际状态为准。</w:t>
      </w:r>
    </w:p>
    <w:p>
      <w:pPr>
        <w:pStyle w:val="21"/>
        <w:ind w:firstLine="480" w:firstLineChars="200"/>
        <w:rPr>
          <w:rFonts w:hint="eastAsia" w:ascii="宋体" w:hAnsi="宋体"/>
          <w:sz w:val="24"/>
          <w:szCs w:val="24"/>
          <w:lang w:eastAsia="zh-CN"/>
        </w:rPr>
      </w:pPr>
      <w:r>
        <w:rPr>
          <w:rFonts w:hint="eastAsia" w:ascii="宋体" w:hAnsi="宋体"/>
          <w:sz w:val="24"/>
          <w:szCs w:val="24"/>
          <w:lang w:eastAsia="zh-CN"/>
        </w:rPr>
        <w:t>起拍价格：2</w:t>
      </w:r>
      <w:r>
        <w:rPr>
          <w:rFonts w:hint="eastAsia" w:ascii="宋体" w:hAnsi="宋体"/>
          <w:sz w:val="24"/>
          <w:szCs w:val="24"/>
          <w:lang w:val="en-US" w:eastAsia="zh-CN"/>
        </w:rPr>
        <w:t>4</w:t>
      </w:r>
      <w:r>
        <w:rPr>
          <w:rFonts w:hint="eastAsia" w:ascii="宋体" w:hAnsi="宋体"/>
          <w:sz w:val="24"/>
          <w:szCs w:val="24"/>
          <w:lang w:eastAsia="zh-CN"/>
        </w:rPr>
        <w:t>00元/吨</w:t>
      </w:r>
    </w:p>
    <w:p>
      <w:pPr>
        <w:pStyle w:val="21"/>
        <w:ind w:firstLine="480" w:firstLineChars="200"/>
        <w:rPr>
          <w:rFonts w:hint="eastAsia" w:ascii="宋体" w:hAnsi="宋体"/>
          <w:sz w:val="24"/>
          <w:szCs w:val="24"/>
          <w:lang w:eastAsia="zh-CN"/>
        </w:rPr>
      </w:pPr>
      <w:r>
        <w:rPr>
          <w:rFonts w:hint="eastAsia" w:ascii="宋体" w:hAnsi="宋体"/>
          <w:sz w:val="24"/>
          <w:szCs w:val="24"/>
          <w:lang w:eastAsia="zh-CN"/>
        </w:rPr>
        <w:t>竞价方式：网络竞价</w:t>
      </w:r>
    </w:p>
    <w:p>
      <w:pPr>
        <w:pStyle w:val="21"/>
        <w:ind w:firstLine="480" w:firstLineChars="200"/>
        <w:rPr>
          <w:rFonts w:hint="eastAsia" w:ascii="宋体" w:hAnsi="宋体"/>
          <w:sz w:val="24"/>
          <w:szCs w:val="24"/>
          <w:lang w:eastAsia="zh-CN"/>
        </w:rPr>
      </w:pPr>
      <w:r>
        <w:rPr>
          <w:rFonts w:hint="eastAsia" w:ascii="宋体" w:hAnsi="宋体"/>
          <w:sz w:val="24"/>
          <w:szCs w:val="24"/>
          <w:lang w:eastAsia="zh-CN"/>
        </w:rPr>
        <w:t>增加幅度：10元/吨</w:t>
      </w:r>
    </w:p>
    <w:p>
      <w:pPr>
        <w:pStyle w:val="21"/>
        <w:ind w:firstLine="480" w:firstLineChars="200"/>
        <w:rPr>
          <w:rFonts w:ascii="宋体" w:hAnsi="宋体"/>
          <w:b/>
          <w:sz w:val="24"/>
          <w:szCs w:val="24"/>
        </w:rPr>
      </w:pPr>
      <w:r>
        <w:rPr>
          <w:rFonts w:ascii="宋体" w:hAnsi="宋体"/>
          <w:b/>
          <w:sz w:val="24"/>
          <w:szCs w:val="24"/>
        </w:rPr>
        <w:t>综上所述</w:t>
      </w:r>
      <w:r>
        <w:rPr>
          <w:rFonts w:hint="eastAsia" w:ascii="宋体" w:hAnsi="宋体"/>
          <w:b/>
          <w:sz w:val="24"/>
          <w:szCs w:val="24"/>
        </w:rPr>
        <w:t>，请竞买人谨慎报价。</w:t>
      </w:r>
    </w:p>
    <w:p>
      <w:pPr>
        <w:pStyle w:val="21"/>
        <w:ind w:firstLine="480" w:firstLineChars="200"/>
        <w:rPr>
          <w:rFonts w:hint="eastAsia" w:ascii="宋体" w:hAnsi="宋体"/>
          <w:sz w:val="24"/>
          <w:szCs w:val="24"/>
        </w:rPr>
      </w:pPr>
    </w:p>
    <w:p>
      <w:pPr>
        <w:pStyle w:val="21"/>
        <w:ind w:firstLine="480" w:firstLineChars="200"/>
        <w:rPr>
          <w:sz w:val="28"/>
          <w:szCs w:val="28"/>
        </w:rPr>
      </w:pPr>
      <w:r>
        <w:rPr>
          <w:rFonts w:hint="eastAsia" w:ascii="宋体" w:hAnsi="宋体"/>
          <w:sz w:val="24"/>
          <w:szCs w:val="24"/>
        </w:rPr>
        <w:t>竞买人（签字</w:t>
      </w:r>
      <w:r>
        <w:rPr>
          <w:rFonts w:hint="eastAsia" w:ascii="宋体" w:hAnsi="宋体"/>
          <w:sz w:val="24"/>
          <w:szCs w:val="24"/>
          <w:lang w:eastAsia="zh-CN"/>
        </w:rPr>
        <w:t>、</w:t>
      </w:r>
      <w:r>
        <w:rPr>
          <w:rFonts w:hint="eastAsia" w:ascii="宋体" w:hAnsi="宋体"/>
          <w:sz w:val="24"/>
          <w:szCs w:val="24"/>
          <w:lang w:val="en-US" w:eastAsia="zh-CN"/>
        </w:rPr>
        <w:t>按手印</w:t>
      </w:r>
      <w:r>
        <w:rPr>
          <w:rFonts w:hint="eastAsia" w:ascii="宋体" w:hAnsi="宋体"/>
          <w:sz w:val="24"/>
          <w:szCs w:val="24"/>
        </w:rPr>
        <w:t>并盖章）：</w:t>
      </w:r>
      <w:bookmarkEnd w:id="1"/>
      <w:bookmarkStart w:id="2" w:name="_GoBack"/>
      <w:bookmarkEnd w:id="2"/>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taPlusNormalRoman">
    <w:altName w:val="Segoe Print"/>
    <w:panose1 w:val="00000000000000000000"/>
    <w:charset w:val="00"/>
    <w:family w:val="swiss"/>
    <w:pitch w:val="default"/>
    <w:sig w:usb0="00000000" w:usb1="00000000" w:usb2="00000000" w:usb3="00000000" w:csb0="00000001" w:csb1="00000000"/>
  </w:font>
  <w:font w:name="MS Song">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 MERGEFORMAT </w:instrText>
    </w:r>
    <w:r>
      <w:fldChar w:fldCharType="separate"/>
    </w:r>
    <w:r>
      <w:rPr>
        <w:lang w:val="zh-CN"/>
      </w:rPr>
      <w:t>7</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A4NzIyN2MxYTlmMzQ1NGE2MjU5NWRkMjhlOGMxYTAifQ=="/>
  </w:docVars>
  <w:rsids>
    <w:rsidRoot w:val="001D0A46"/>
    <w:rsid w:val="00007F76"/>
    <w:rsid w:val="00016754"/>
    <w:rsid w:val="00042ADB"/>
    <w:rsid w:val="000509B5"/>
    <w:rsid w:val="000543E1"/>
    <w:rsid w:val="00054FAC"/>
    <w:rsid w:val="00074ED8"/>
    <w:rsid w:val="00086806"/>
    <w:rsid w:val="000872B1"/>
    <w:rsid w:val="00092C66"/>
    <w:rsid w:val="000954AE"/>
    <w:rsid w:val="000A33CA"/>
    <w:rsid w:val="000A768E"/>
    <w:rsid w:val="000D027F"/>
    <w:rsid w:val="000D35F9"/>
    <w:rsid w:val="000E0294"/>
    <w:rsid w:val="000E2212"/>
    <w:rsid w:val="000F0846"/>
    <w:rsid w:val="000F45D5"/>
    <w:rsid w:val="000F7989"/>
    <w:rsid w:val="001037C8"/>
    <w:rsid w:val="00107D74"/>
    <w:rsid w:val="00111603"/>
    <w:rsid w:val="00121988"/>
    <w:rsid w:val="0012347D"/>
    <w:rsid w:val="00124559"/>
    <w:rsid w:val="00137798"/>
    <w:rsid w:val="00140914"/>
    <w:rsid w:val="00140EE7"/>
    <w:rsid w:val="00155F1A"/>
    <w:rsid w:val="00157316"/>
    <w:rsid w:val="00160217"/>
    <w:rsid w:val="0017197B"/>
    <w:rsid w:val="00181037"/>
    <w:rsid w:val="00185596"/>
    <w:rsid w:val="00191B1B"/>
    <w:rsid w:val="00195DD5"/>
    <w:rsid w:val="001967AE"/>
    <w:rsid w:val="001A54CD"/>
    <w:rsid w:val="001A764A"/>
    <w:rsid w:val="001D0A46"/>
    <w:rsid w:val="001E43E1"/>
    <w:rsid w:val="001F0406"/>
    <w:rsid w:val="00213D05"/>
    <w:rsid w:val="002245AF"/>
    <w:rsid w:val="002458CB"/>
    <w:rsid w:val="00260AB3"/>
    <w:rsid w:val="00272C11"/>
    <w:rsid w:val="00287692"/>
    <w:rsid w:val="002B67BC"/>
    <w:rsid w:val="002B6F54"/>
    <w:rsid w:val="002C635D"/>
    <w:rsid w:val="002C67A7"/>
    <w:rsid w:val="002E123E"/>
    <w:rsid w:val="002E7BD2"/>
    <w:rsid w:val="003020EA"/>
    <w:rsid w:val="0030225F"/>
    <w:rsid w:val="00312D03"/>
    <w:rsid w:val="003131B1"/>
    <w:rsid w:val="003152EE"/>
    <w:rsid w:val="00317B02"/>
    <w:rsid w:val="00322510"/>
    <w:rsid w:val="00330199"/>
    <w:rsid w:val="00351102"/>
    <w:rsid w:val="00367E97"/>
    <w:rsid w:val="00373B59"/>
    <w:rsid w:val="003A2178"/>
    <w:rsid w:val="003A3898"/>
    <w:rsid w:val="003A4E20"/>
    <w:rsid w:val="003B1000"/>
    <w:rsid w:val="003D02C4"/>
    <w:rsid w:val="003D44FB"/>
    <w:rsid w:val="003D4BD1"/>
    <w:rsid w:val="003D50E8"/>
    <w:rsid w:val="003F5000"/>
    <w:rsid w:val="00411233"/>
    <w:rsid w:val="00417337"/>
    <w:rsid w:val="00423844"/>
    <w:rsid w:val="004338A9"/>
    <w:rsid w:val="00437B36"/>
    <w:rsid w:val="00463638"/>
    <w:rsid w:val="004829F3"/>
    <w:rsid w:val="004A255E"/>
    <w:rsid w:val="004B5701"/>
    <w:rsid w:val="004C00EE"/>
    <w:rsid w:val="004C6A1E"/>
    <w:rsid w:val="004D107D"/>
    <w:rsid w:val="004E1E9F"/>
    <w:rsid w:val="004E3B1B"/>
    <w:rsid w:val="004F155A"/>
    <w:rsid w:val="004F6364"/>
    <w:rsid w:val="005204F6"/>
    <w:rsid w:val="00546DD7"/>
    <w:rsid w:val="005517F8"/>
    <w:rsid w:val="00587233"/>
    <w:rsid w:val="005915B8"/>
    <w:rsid w:val="005A756E"/>
    <w:rsid w:val="005B485C"/>
    <w:rsid w:val="005C7677"/>
    <w:rsid w:val="005D0536"/>
    <w:rsid w:val="005D1BED"/>
    <w:rsid w:val="005F05FC"/>
    <w:rsid w:val="00605E55"/>
    <w:rsid w:val="00611103"/>
    <w:rsid w:val="00614056"/>
    <w:rsid w:val="00624357"/>
    <w:rsid w:val="00635AF5"/>
    <w:rsid w:val="006465C5"/>
    <w:rsid w:val="00670B06"/>
    <w:rsid w:val="00677C1A"/>
    <w:rsid w:val="00681196"/>
    <w:rsid w:val="00695DE8"/>
    <w:rsid w:val="006A59E7"/>
    <w:rsid w:val="006A5AC1"/>
    <w:rsid w:val="006A6DA8"/>
    <w:rsid w:val="006B4CCA"/>
    <w:rsid w:val="006B5B89"/>
    <w:rsid w:val="006E4590"/>
    <w:rsid w:val="006F6783"/>
    <w:rsid w:val="006F7E98"/>
    <w:rsid w:val="00715716"/>
    <w:rsid w:val="007161CD"/>
    <w:rsid w:val="007341E3"/>
    <w:rsid w:val="007376AE"/>
    <w:rsid w:val="0074130E"/>
    <w:rsid w:val="00742483"/>
    <w:rsid w:val="007514F3"/>
    <w:rsid w:val="00757B3D"/>
    <w:rsid w:val="00766054"/>
    <w:rsid w:val="00773017"/>
    <w:rsid w:val="00783219"/>
    <w:rsid w:val="007A0FA5"/>
    <w:rsid w:val="007A2066"/>
    <w:rsid w:val="007C3006"/>
    <w:rsid w:val="007D7576"/>
    <w:rsid w:val="007E2690"/>
    <w:rsid w:val="007F08DA"/>
    <w:rsid w:val="007F1783"/>
    <w:rsid w:val="008339EC"/>
    <w:rsid w:val="00840294"/>
    <w:rsid w:val="00844F87"/>
    <w:rsid w:val="008521D7"/>
    <w:rsid w:val="008607F5"/>
    <w:rsid w:val="00862077"/>
    <w:rsid w:val="008641E7"/>
    <w:rsid w:val="00870F57"/>
    <w:rsid w:val="0088172D"/>
    <w:rsid w:val="00887301"/>
    <w:rsid w:val="008939FF"/>
    <w:rsid w:val="008A16F3"/>
    <w:rsid w:val="008A1CCB"/>
    <w:rsid w:val="008D2204"/>
    <w:rsid w:val="008D59D0"/>
    <w:rsid w:val="008D7D1F"/>
    <w:rsid w:val="008E0AED"/>
    <w:rsid w:val="008E1CFD"/>
    <w:rsid w:val="008E6449"/>
    <w:rsid w:val="00920DD3"/>
    <w:rsid w:val="00925FE7"/>
    <w:rsid w:val="00935EDF"/>
    <w:rsid w:val="00936345"/>
    <w:rsid w:val="00953773"/>
    <w:rsid w:val="00974CF1"/>
    <w:rsid w:val="00980303"/>
    <w:rsid w:val="0099024E"/>
    <w:rsid w:val="00991765"/>
    <w:rsid w:val="00992F51"/>
    <w:rsid w:val="009944FC"/>
    <w:rsid w:val="00996B23"/>
    <w:rsid w:val="009B26A7"/>
    <w:rsid w:val="009B3CFA"/>
    <w:rsid w:val="009D6B9C"/>
    <w:rsid w:val="009E21AE"/>
    <w:rsid w:val="009E680D"/>
    <w:rsid w:val="009F1802"/>
    <w:rsid w:val="009F1AE0"/>
    <w:rsid w:val="00A015BC"/>
    <w:rsid w:val="00A02795"/>
    <w:rsid w:val="00A053CC"/>
    <w:rsid w:val="00A14019"/>
    <w:rsid w:val="00A14C6D"/>
    <w:rsid w:val="00A208FD"/>
    <w:rsid w:val="00A26E93"/>
    <w:rsid w:val="00A32A62"/>
    <w:rsid w:val="00A34BF0"/>
    <w:rsid w:val="00A435EC"/>
    <w:rsid w:val="00A67A51"/>
    <w:rsid w:val="00A902E6"/>
    <w:rsid w:val="00AA29FD"/>
    <w:rsid w:val="00AA6E22"/>
    <w:rsid w:val="00AB3BB6"/>
    <w:rsid w:val="00AC50A5"/>
    <w:rsid w:val="00AC517E"/>
    <w:rsid w:val="00AE51E5"/>
    <w:rsid w:val="00AF7BE9"/>
    <w:rsid w:val="00B02BAA"/>
    <w:rsid w:val="00B14819"/>
    <w:rsid w:val="00B164FE"/>
    <w:rsid w:val="00B2400B"/>
    <w:rsid w:val="00B27676"/>
    <w:rsid w:val="00B30CDB"/>
    <w:rsid w:val="00B5368A"/>
    <w:rsid w:val="00B839DD"/>
    <w:rsid w:val="00B84BB5"/>
    <w:rsid w:val="00B84DA7"/>
    <w:rsid w:val="00B96020"/>
    <w:rsid w:val="00B97C76"/>
    <w:rsid w:val="00BB1E48"/>
    <w:rsid w:val="00BB6A86"/>
    <w:rsid w:val="00C04BA5"/>
    <w:rsid w:val="00C27F14"/>
    <w:rsid w:val="00C35D1B"/>
    <w:rsid w:val="00C412AD"/>
    <w:rsid w:val="00C41D3C"/>
    <w:rsid w:val="00C5124C"/>
    <w:rsid w:val="00C7602D"/>
    <w:rsid w:val="00C76479"/>
    <w:rsid w:val="00C80114"/>
    <w:rsid w:val="00C81FF1"/>
    <w:rsid w:val="00C94590"/>
    <w:rsid w:val="00C96D23"/>
    <w:rsid w:val="00CB2AEF"/>
    <w:rsid w:val="00CC4B59"/>
    <w:rsid w:val="00CE1321"/>
    <w:rsid w:val="00CE4051"/>
    <w:rsid w:val="00CF6226"/>
    <w:rsid w:val="00D11C7D"/>
    <w:rsid w:val="00D11EA5"/>
    <w:rsid w:val="00D11ED9"/>
    <w:rsid w:val="00D240D9"/>
    <w:rsid w:val="00D265AD"/>
    <w:rsid w:val="00D350E2"/>
    <w:rsid w:val="00D41BB7"/>
    <w:rsid w:val="00D47583"/>
    <w:rsid w:val="00D541D7"/>
    <w:rsid w:val="00D558EC"/>
    <w:rsid w:val="00D5617A"/>
    <w:rsid w:val="00D6097F"/>
    <w:rsid w:val="00D8293D"/>
    <w:rsid w:val="00DA6499"/>
    <w:rsid w:val="00DB1EF5"/>
    <w:rsid w:val="00DB49A9"/>
    <w:rsid w:val="00DC74E4"/>
    <w:rsid w:val="00DE158B"/>
    <w:rsid w:val="00DE7471"/>
    <w:rsid w:val="00E14E32"/>
    <w:rsid w:val="00E1568F"/>
    <w:rsid w:val="00E21F37"/>
    <w:rsid w:val="00E24562"/>
    <w:rsid w:val="00E51C8B"/>
    <w:rsid w:val="00E56BFD"/>
    <w:rsid w:val="00E77D59"/>
    <w:rsid w:val="00E8360B"/>
    <w:rsid w:val="00E93652"/>
    <w:rsid w:val="00EA5C3F"/>
    <w:rsid w:val="00EB2556"/>
    <w:rsid w:val="00EB3B2C"/>
    <w:rsid w:val="00ED3ADF"/>
    <w:rsid w:val="00EE1577"/>
    <w:rsid w:val="00EF1ECF"/>
    <w:rsid w:val="00EF7E82"/>
    <w:rsid w:val="00F2028F"/>
    <w:rsid w:val="00F24122"/>
    <w:rsid w:val="00F43378"/>
    <w:rsid w:val="00F6256F"/>
    <w:rsid w:val="00F648B5"/>
    <w:rsid w:val="00F85CCC"/>
    <w:rsid w:val="00FB05DD"/>
    <w:rsid w:val="00FB3E76"/>
    <w:rsid w:val="00FC1C87"/>
    <w:rsid w:val="00FD5F3F"/>
    <w:rsid w:val="00FF432D"/>
    <w:rsid w:val="04045256"/>
    <w:rsid w:val="089B4FF8"/>
    <w:rsid w:val="130E493C"/>
    <w:rsid w:val="13780452"/>
    <w:rsid w:val="14247E3D"/>
    <w:rsid w:val="20686DF8"/>
    <w:rsid w:val="20D30683"/>
    <w:rsid w:val="32DF3FE8"/>
    <w:rsid w:val="3CC710D9"/>
    <w:rsid w:val="3FAE115C"/>
    <w:rsid w:val="43E97F58"/>
    <w:rsid w:val="44AF2919"/>
    <w:rsid w:val="460E4436"/>
    <w:rsid w:val="47F30C36"/>
    <w:rsid w:val="486A56DB"/>
    <w:rsid w:val="4F502160"/>
    <w:rsid w:val="55716C5C"/>
    <w:rsid w:val="55A3228E"/>
    <w:rsid w:val="590A53FF"/>
    <w:rsid w:val="5C5B6749"/>
    <w:rsid w:val="6A641506"/>
    <w:rsid w:val="793E4D26"/>
    <w:rsid w:val="7EA11D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6"/>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4">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2"/>
    <w:qFormat/>
    <w:uiPriority w:val="99"/>
    <w:pPr>
      <w:widowControl/>
      <w:spacing w:after="120"/>
      <w:jc w:val="left"/>
    </w:pPr>
    <w:rPr>
      <w:kern w:val="0"/>
      <w:sz w:val="24"/>
      <w:szCs w:val="24"/>
      <w:lang w:eastAsia="en-US"/>
    </w:rPr>
  </w:style>
  <w:style w:type="paragraph" w:styleId="4">
    <w:name w:val="Body Text Indent"/>
    <w:basedOn w:val="1"/>
    <w:link w:val="27"/>
    <w:autoRedefine/>
    <w:unhideWhenUsed/>
    <w:qFormat/>
    <w:uiPriority w:val="99"/>
    <w:pPr>
      <w:spacing w:after="120"/>
      <w:ind w:left="420" w:leftChars="200"/>
    </w:pPr>
  </w:style>
  <w:style w:type="paragraph" w:styleId="5">
    <w:name w:val="Plain Text"/>
    <w:basedOn w:val="1"/>
    <w:link w:val="30"/>
    <w:autoRedefine/>
    <w:qFormat/>
    <w:uiPriority w:val="0"/>
    <w:rPr>
      <w:rFonts w:ascii="宋体" w:hAnsi="Courier New" w:eastAsia="宋体" w:cs="Times New Roman"/>
      <w:kern w:val="0"/>
      <w:sz w:val="20"/>
      <w:szCs w:val="21"/>
    </w:rPr>
  </w:style>
  <w:style w:type="paragraph" w:styleId="6">
    <w:name w:val="Balloon Text"/>
    <w:basedOn w:val="1"/>
    <w:link w:val="28"/>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toc 2"/>
    <w:basedOn w:val="1"/>
    <w:next w:val="1"/>
    <w:autoRedefine/>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1">
    <w:name w:val="Body Text 2"/>
    <w:basedOn w:val="1"/>
    <w:link w:val="24"/>
    <w:qFormat/>
    <w:uiPriority w:val="99"/>
    <w:pPr>
      <w:widowControl/>
      <w:spacing w:after="120" w:line="480" w:lineRule="auto"/>
      <w:jc w:val="left"/>
    </w:pPr>
    <w:rPr>
      <w:kern w:val="0"/>
      <w:sz w:val="24"/>
      <w:szCs w:val="24"/>
      <w:lang w:eastAsia="en-US"/>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Strong"/>
    <w:basedOn w:val="14"/>
    <w:qFormat/>
    <w:uiPriority w:val="22"/>
    <w:rPr>
      <w:b/>
      <w:bCs/>
    </w:rPr>
  </w:style>
  <w:style w:type="character" w:styleId="16">
    <w:name w:val="line number"/>
    <w:basedOn w:val="14"/>
    <w:unhideWhenUsed/>
    <w:qFormat/>
    <w:uiPriority w:val="99"/>
  </w:style>
  <w:style w:type="character" w:styleId="17">
    <w:name w:val="Hyperlink"/>
    <w:autoRedefine/>
    <w:qFormat/>
    <w:uiPriority w:val="99"/>
    <w:rPr>
      <w:color w:val="0000FF"/>
      <w:u w:val="single"/>
    </w:rPr>
  </w:style>
  <w:style w:type="character" w:customStyle="1" w:styleId="18">
    <w:name w:val="页眉 字符"/>
    <w:basedOn w:val="14"/>
    <w:link w:val="8"/>
    <w:autoRedefine/>
    <w:qFormat/>
    <w:uiPriority w:val="99"/>
    <w:rPr>
      <w:sz w:val="18"/>
      <w:szCs w:val="18"/>
    </w:rPr>
  </w:style>
  <w:style w:type="character" w:customStyle="1" w:styleId="19">
    <w:name w:val="页脚 字符"/>
    <w:basedOn w:val="14"/>
    <w:link w:val="7"/>
    <w:qFormat/>
    <w:uiPriority w:val="99"/>
    <w:rPr>
      <w:sz w:val="18"/>
      <w:szCs w:val="18"/>
    </w:rPr>
  </w:style>
  <w:style w:type="paragraph" w:customStyle="1" w:styleId="20">
    <w:name w:val="列出段落1"/>
    <w:basedOn w:val="1"/>
    <w:qFormat/>
    <w:uiPriority w:val="34"/>
    <w:pPr>
      <w:ind w:firstLine="420" w:firstLineChars="200"/>
    </w:pPr>
  </w:style>
  <w:style w:type="paragraph" w:customStyle="1" w:styleId="21">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2">
    <w:name w:val="正文文本 字符"/>
    <w:link w:val="3"/>
    <w:qFormat/>
    <w:uiPriority w:val="99"/>
    <w:rPr>
      <w:kern w:val="0"/>
      <w:sz w:val="24"/>
      <w:szCs w:val="24"/>
      <w:lang w:eastAsia="en-US"/>
    </w:rPr>
  </w:style>
  <w:style w:type="character" w:customStyle="1" w:styleId="23">
    <w:name w:val="正文文本 Char1"/>
    <w:basedOn w:val="14"/>
    <w:semiHidden/>
    <w:qFormat/>
    <w:uiPriority w:val="99"/>
  </w:style>
  <w:style w:type="character" w:customStyle="1" w:styleId="24">
    <w:name w:val="正文文本 2 字符"/>
    <w:link w:val="11"/>
    <w:qFormat/>
    <w:uiPriority w:val="99"/>
    <w:rPr>
      <w:kern w:val="0"/>
      <w:sz w:val="24"/>
      <w:szCs w:val="24"/>
      <w:lang w:eastAsia="en-US"/>
    </w:rPr>
  </w:style>
  <w:style w:type="character" w:customStyle="1" w:styleId="25">
    <w:name w:val="正文文本 2 Char1"/>
    <w:basedOn w:val="14"/>
    <w:semiHidden/>
    <w:qFormat/>
    <w:uiPriority w:val="99"/>
  </w:style>
  <w:style w:type="character" w:customStyle="1" w:styleId="26">
    <w:name w:val="标题 2 字符"/>
    <w:basedOn w:val="14"/>
    <w:link w:val="2"/>
    <w:qFormat/>
    <w:uiPriority w:val="99"/>
    <w:rPr>
      <w:rFonts w:ascii="Cambria" w:hAnsi="Cambria" w:eastAsia="宋体" w:cs="Times New Roman"/>
      <w:b/>
      <w:bCs/>
      <w:i/>
      <w:iCs/>
      <w:kern w:val="0"/>
      <w:sz w:val="28"/>
      <w:szCs w:val="28"/>
    </w:rPr>
  </w:style>
  <w:style w:type="character" w:customStyle="1" w:styleId="27">
    <w:name w:val="正文文本缩进 字符"/>
    <w:basedOn w:val="14"/>
    <w:link w:val="4"/>
    <w:semiHidden/>
    <w:qFormat/>
    <w:uiPriority w:val="99"/>
  </w:style>
  <w:style w:type="character" w:customStyle="1" w:styleId="28">
    <w:name w:val="批注框文本 字符"/>
    <w:basedOn w:val="14"/>
    <w:link w:val="6"/>
    <w:semiHidden/>
    <w:qFormat/>
    <w:uiPriority w:val="99"/>
    <w:rPr>
      <w:sz w:val="18"/>
      <w:szCs w:val="18"/>
    </w:rPr>
  </w:style>
  <w:style w:type="paragraph" w:styleId="29">
    <w:name w:val="List Paragraph"/>
    <w:basedOn w:val="1"/>
    <w:unhideWhenUsed/>
    <w:qFormat/>
    <w:uiPriority w:val="99"/>
    <w:pPr>
      <w:ind w:firstLine="420" w:firstLineChars="200"/>
    </w:pPr>
  </w:style>
  <w:style w:type="character" w:customStyle="1" w:styleId="30">
    <w:name w:val="纯文本 字符"/>
    <w:basedOn w:val="14"/>
    <w:link w:val="5"/>
    <w:qFormat/>
    <w:uiPriority w:val="0"/>
    <w:rPr>
      <w:rFonts w:ascii="宋体" w:hAnsi="Courier New" w:eastAsia="宋体" w:cs="Times New Roman"/>
      <w:szCs w:val="21"/>
    </w:rPr>
  </w:style>
  <w:style w:type="paragraph" w:customStyle="1" w:styleId="31">
    <w:name w:val="彩色列表1"/>
    <w:basedOn w:val="1"/>
    <w:qFormat/>
    <w:uiPriority w:val="34"/>
    <w:pPr>
      <w:ind w:firstLine="420" w:firstLineChars="200"/>
      <w:jc w:val="left"/>
    </w:pPr>
    <w:rPr>
      <w:rFonts w:ascii="MetaPlusNormalRoman" w:hAnsi="MetaPlusNormalRoman" w:eastAsia="MS Song" w:cs="Times New Roman"/>
      <w:kern w:val="0"/>
      <w:sz w:val="22"/>
      <w:szCs w:val="20"/>
      <w:lang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2404</Words>
  <Characters>2466</Characters>
  <Lines>17</Lines>
  <Paragraphs>5</Paragraphs>
  <TotalTime>0</TotalTime>
  <ScaleCrop>false</ScaleCrop>
  <LinksUpToDate>false</LinksUpToDate>
  <CharactersWithSpaces>2469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谭政君</cp:lastModifiedBy>
  <cp:lastPrinted>2022-06-29T09:41:00Z</cp:lastPrinted>
  <dcterms:modified xsi:type="dcterms:W3CDTF">2024-03-18T06:16:39Z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A911030420BF43CF91F35589E11D8348</vt:lpwstr>
  </property>
</Properties>
</file>