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4DE4F">
      <w:pPr>
        <w:pStyle w:val="4"/>
        <w:adjustRightInd w:val="0"/>
        <w:snapToGrid w:val="0"/>
        <w:spacing w:before="156" w:beforeLines="50" w:line="360" w:lineRule="auto"/>
        <w:outlineLvl w:val="1"/>
        <w:rPr>
          <w:rFonts w:ascii="宋体" w:hAnsi="宋体"/>
          <w:sz w:val="28"/>
          <w:szCs w:val="28"/>
          <w:lang w:eastAsia="zh-CN"/>
        </w:rPr>
      </w:pPr>
    </w:p>
    <w:p w14:paraId="08D16C59">
      <w:pPr>
        <w:pStyle w:val="4"/>
        <w:adjustRightInd w:val="0"/>
        <w:snapToGrid w:val="0"/>
        <w:spacing w:before="156" w:beforeLines="50" w:line="360" w:lineRule="auto"/>
        <w:outlineLvl w:val="1"/>
        <w:rPr>
          <w:rFonts w:ascii="宋体" w:hAnsi="宋体"/>
          <w:sz w:val="28"/>
          <w:szCs w:val="28"/>
          <w:lang w:eastAsia="zh-CN"/>
        </w:rPr>
      </w:pPr>
    </w:p>
    <w:p w14:paraId="6536382B">
      <w:pPr>
        <w:pStyle w:val="4"/>
        <w:adjustRightInd w:val="0"/>
        <w:snapToGrid w:val="0"/>
        <w:spacing w:before="156" w:beforeLines="50" w:line="360" w:lineRule="auto"/>
        <w:outlineLvl w:val="1"/>
        <w:rPr>
          <w:rFonts w:ascii="宋体" w:hAnsi="宋体"/>
          <w:sz w:val="28"/>
          <w:szCs w:val="28"/>
          <w:lang w:eastAsia="zh-CN"/>
        </w:rPr>
      </w:pPr>
    </w:p>
    <w:p w14:paraId="6C15BF68">
      <w:pPr>
        <w:pStyle w:val="4"/>
        <w:adjustRightInd w:val="0"/>
        <w:snapToGrid w:val="0"/>
        <w:spacing w:before="156" w:beforeLines="50" w:line="360" w:lineRule="auto"/>
        <w:jc w:val="center"/>
        <w:rPr>
          <w:rFonts w:eastAsia="黑体"/>
          <w:sz w:val="72"/>
          <w:lang w:eastAsia="zh-CN"/>
        </w:rPr>
      </w:pPr>
      <w:r>
        <w:rPr>
          <w:rFonts w:hint="eastAsia" w:eastAsia="黑体"/>
          <w:sz w:val="72"/>
          <w:lang w:eastAsia="zh-CN"/>
        </w:rPr>
        <w:t>竞买文件</w:t>
      </w:r>
    </w:p>
    <w:p w14:paraId="195CE74E">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14:paraId="1C224BD1">
      <w:pPr>
        <w:pStyle w:val="4"/>
        <w:adjustRightInd w:val="0"/>
        <w:snapToGrid w:val="0"/>
        <w:spacing w:before="156" w:beforeLines="50" w:after="156" w:afterLines="50" w:line="360" w:lineRule="auto"/>
        <w:ind w:firstLine="1440" w:firstLineChars="450"/>
        <w:rPr>
          <w:rFonts w:eastAsia="黑体"/>
          <w:sz w:val="32"/>
          <w:lang w:eastAsia="zh-CN"/>
        </w:rPr>
      </w:pPr>
    </w:p>
    <w:p w14:paraId="6AC35868">
      <w:pPr>
        <w:pStyle w:val="4"/>
        <w:adjustRightInd w:val="0"/>
        <w:snapToGrid w:val="0"/>
        <w:spacing w:before="156" w:beforeLines="50" w:after="156" w:afterLines="50" w:line="360" w:lineRule="auto"/>
        <w:ind w:firstLine="1440" w:firstLineChars="450"/>
        <w:rPr>
          <w:rFonts w:eastAsia="黑体"/>
          <w:sz w:val="32"/>
          <w:lang w:eastAsia="zh-CN"/>
        </w:rPr>
      </w:pPr>
    </w:p>
    <w:p w14:paraId="6323728F">
      <w:pPr>
        <w:pStyle w:val="4"/>
        <w:adjustRightInd w:val="0"/>
        <w:snapToGrid w:val="0"/>
        <w:spacing w:before="156" w:beforeLines="50" w:after="156" w:afterLines="50" w:line="360" w:lineRule="auto"/>
        <w:ind w:left="1800" w:hanging="1800" w:hangingChars="500"/>
        <w:rPr>
          <w:rFonts w:ascii="方正仿宋简体" w:hAnsi="宋体" w:eastAsia="方正仿宋简体"/>
          <w:bCs/>
          <w:sz w:val="32"/>
          <w:szCs w:val="32"/>
          <w:u w:val="single"/>
          <w:lang w:eastAsia="zh-CN"/>
        </w:rPr>
      </w:pPr>
      <w:r>
        <w:rPr>
          <w:rFonts w:ascii="黑体" w:hAnsi="黑体" w:eastAsia="黑体"/>
          <w:sz w:val="36"/>
          <w:lang w:eastAsia="zh-CN"/>
        </w:rPr>
        <w:t>项目名称：</w:t>
      </w:r>
      <w:r>
        <w:rPr>
          <w:rFonts w:ascii="方正仿宋简体" w:hAnsi="宋体" w:eastAsia="方正仿宋简体"/>
          <w:bCs/>
          <w:sz w:val="32"/>
          <w:szCs w:val="32"/>
          <w:u w:val="single"/>
          <w:lang w:eastAsia="zh-CN"/>
        </w:rPr>
        <w:t>中石油煤层气有限责任公司</w:t>
      </w:r>
      <w:r>
        <w:rPr>
          <w:rFonts w:hint="eastAsia" w:ascii="方正仿宋简体" w:hAnsi="宋体" w:eastAsia="方正仿宋简体"/>
          <w:bCs/>
          <w:sz w:val="32"/>
          <w:szCs w:val="32"/>
          <w:u w:val="single"/>
          <w:lang w:val="en-US" w:eastAsia="zh-CN"/>
        </w:rPr>
        <w:t>临汾</w:t>
      </w:r>
      <w:r>
        <w:rPr>
          <w:rFonts w:ascii="方正仿宋简体" w:hAnsi="宋体" w:eastAsia="方正仿宋简体"/>
          <w:bCs/>
          <w:sz w:val="32"/>
          <w:szCs w:val="32"/>
          <w:u w:val="single"/>
          <w:lang w:eastAsia="zh-CN"/>
        </w:rPr>
        <w:t>分公司报废资产</w:t>
      </w:r>
    </w:p>
    <w:p w14:paraId="61EEBD8D">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1EEAAFC1">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14:paraId="2C653750">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14:paraId="4207B461">
      <w:pPr>
        <w:pStyle w:val="4"/>
        <w:adjustRightInd w:val="0"/>
        <w:snapToGrid w:val="0"/>
        <w:spacing w:before="156" w:beforeLines="50" w:after="156" w:afterLines="50" w:line="360" w:lineRule="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3C9FCF8B">
      <w:pPr>
        <w:pStyle w:val="4"/>
        <w:adjustRightInd w:val="0"/>
        <w:snapToGrid w:val="0"/>
        <w:spacing w:before="156" w:beforeLines="50" w:line="360" w:lineRule="auto"/>
        <w:jc w:val="center"/>
        <w:rPr>
          <w:rFonts w:eastAsia="黑体"/>
          <w:sz w:val="32"/>
          <w:lang w:eastAsia="zh-CN"/>
        </w:rPr>
      </w:pPr>
    </w:p>
    <w:p w14:paraId="59E9ED53">
      <w:pPr>
        <w:pStyle w:val="4"/>
        <w:adjustRightInd w:val="0"/>
        <w:snapToGrid w:val="0"/>
        <w:spacing w:before="156" w:beforeLines="50" w:line="360" w:lineRule="auto"/>
        <w:jc w:val="center"/>
        <w:rPr>
          <w:rFonts w:eastAsia="黑体"/>
          <w:sz w:val="32"/>
          <w:lang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8</w:t>
      </w:r>
      <w:r>
        <w:rPr>
          <w:rFonts w:eastAsia="黑体"/>
          <w:sz w:val="32"/>
          <w:lang w:eastAsia="zh-CN"/>
        </w:rPr>
        <w:t>月</w:t>
      </w:r>
      <w:r>
        <w:rPr>
          <w:rFonts w:hint="eastAsia" w:eastAsia="黑体"/>
          <w:sz w:val="32"/>
          <w:lang w:val="en-US" w:eastAsia="zh-CN"/>
        </w:rPr>
        <w:t>7</w:t>
      </w:r>
      <w:r>
        <w:rPr>
          <w:rFonts w:eastAsia="黑体"/>
          <w:sz w:val="32"/>
          <w:lang w:eastAsia="zh-CN"/>
        </w:rPr>
        <w:t>日</w:t>
      </w:r>
    </w:p>
    <w:p w14:paraId="7E425D38">
      <w:pPr>
        <w:pStyle w:val="4"/>
        <w:adjustRightInd w:val="0"/>
        <w:snapToGrid w:val="0"/>
        <w:spacing w:before="156" w:beforeLines="50" w:after="156" w:afterLines="50" w:line="360" w:lineRule="auto"/>
        <w:ind w:firstLine="1440" w:firstLineChars="450"/>
        <w:jc w:val="center"/>
        <w:rPr>
          <w:rFonts w:eastAsia="黑体"/>
          <w:sz w:val="32"/>
          <w:lang w:eastAsia="zh-CN"/>
        </w:rPr>
      </w:pPr>
    </w:p>
    <w:p w14:paraId="52FF25E7">
      <w:pPr>
        <w:pStyle w:val="4"/>
        <w:adjustRightInd w:val="0"/>
        <w:snapToGrid w:val="0"/>
        <w:spacing w:before="156" w:beforeLines="50" w:line="560" w:lineRule="exact"/>
        <w:jc w:val="center"/>
        <w:outlineLvl w:val="1"/>
        <w:rPr>
          <w:rFonts w:ascii="宋体" w:hAnsi="宋体"/>
          <w:b/>
          <w:sz w:val="28"/>
          <w:szCs w:val="28"/>
          <w:lang w:eastAsia="zh-CN"/>
        </w:rPr>
      </w:pPr>
    </w:p>
    <w:p w14:paraId="215DF2CD">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14:paraId="2C385AD2">
      <w:pPr>
        <w:pStyle w:val="4"/>
        <w:adjustRightInd w:val="0"/>
        <w:snapToGrid w:val="0"/>
        <w:spacing w:before="156" w:beforeLines="50" w:line="560" w:lineRule="exact"/>
        <w:rPr>
          <w:rFonts w:ascii="宋体" w:hAnsi="宋体"/>
          <w:b/>
          <w:lang w:eastAsia="zh-CN"/>
        </w:rPr>
      </w:pPr>
      <w:r>
        <w:rPr>
          <w:rFonts w:hint="eastAsia" w:ascii="宋体" w:hAnsi="宋体"/>
          <w:b/>
          <w:lang w:eastAsia="zh-CN"/>
        </w:rPr>
        <w:t>致：</w:t>
      </w:r>
      <w:r>
        <w:rPr>
          <w:rFonts w:ascii="宋体" w:hAnsi="宋体"/>
          <w:b/>
          <w:lang w:eastAsia="zh-CN"/>
        </w:rPr>
        <w:t>中石油煤层气有限责任公司</w:t>
      </w:r>
      <w:r>
        <w:rPr>
          <w:rFonts w:hint="eastAsia" w:ascii="宋体" w:hAnsi="宋体"/>
          <w:b/>
          <w:lang w:val="en-US" w:eastAsia="zh-CN"/>
        </w:rPr>
        <w:t>临汾</w:t>
      </w:r>
      <w:r>
        <w:rPr>
          <w:rFonts w:ascii="宋体" w:hAnsi="宋体"/>
          <w:b/>
          <w:lang w:eastAsia="zh-CN"/>
        </w:rPr>
        <w:t>分公司</w:t>
      </w:r>
      <w:r>
        <w:rPr>
          <w:rFonts w:hint="eastAsia" w:ascii="宋体" w:hAnsi="宋体"/>
          <w:b/>
          <w:lang w:eastAsia="zh-CN"/>
        </w:rPr>
        <w:t>：</w:t>
      </w:r>
    </w:p>
    <w:p w14:paraId="0900F48C">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14:paraId="04B25290">
      <w:pPr>
        <w:spacing w:line="560" w:lineRule="exact"/>
        <w:ind w:firstLine="480" w:firstLineChars="200"/>
        <w:rPr>
          <w:rFonts w:ascii="宋体" w:hAnsi="宋体"/>
          <w:sz w:val="24"/>
          <w:szCs w:val="24"/>
        </w:rPr>
      </w:pPr>
      <w:r>
        <w:rPr>
          <w:rFonts w:hint="eastAsia" w:ascii="宋体" w:hAnsi="宋体"/>
          <w:sz w:val="24"/>
          <w:szCs w:val="24"/>
        </w:rPr>
        <w:t>现申请参加名称为“</w:t>
      </w:r>
      <w:bookmarkStart w:id="0" w:name="_Hlk149119019"/>
      <w:bookmarkStart w:id="1" w:name="_Hlk149118979"/>
      <w:r>
        <w:rPr>
          <w:rFonts w:hint="eastAsia" w:ascii="宋体" w:hAnsi="宋体"/>
          <w:sz w:val="24"/>
          <w:szCs w:val="24"/>
        </w:rPr>
        <w:t>中石油煤层气有限责任公司</w:t>
      </w:r>
      <w:r>
        <w:rPr>
          <w:rFonts w:hint="eastAsia" w:ascii="宋体" w:hAnsi="宋体"/>
          <w:sz w:val="24"/>
          <w:szCs w:val="24"/>
          <w:lang w:val="en-US" w:eastAsia="zh-CN"/>
        </w:rPr>
        <w:t>临汾</w:t>
      </w:r>
      <w:r>
        <w:rPr>
          <w:rFonts w:hint="eastAsia" w:ascii="宋体" w:hAnsi="宋体"/>
          <w:sz w:val="24"/>
          <w:szCs w:val="24"/>
        </w:rPr>
        <w:t>分公司</w:t>
      </w:r>
      <w:bookmarkEnd w:id="0"/>
      <w:r>
        <w:rPr>
          <w:rFonts w:hint="eastAsia" w:ascii="宋体" w:hAnsi="宋体"/>
          <w:sz w:val="24"/>
          <w:szCs w:val="24"/>
        </w:rPr>
        <w:t>报废资产</w:t>
      </w:r>
      <w:bookmarkEnd w:id="1"/>
      <w:r>
        <w:rPr>
          <w:rFonts w:hint="eastAsia" w:ascii="宋体" w:hAnsi="宋体"/>
          <w:sz w:val="24"/>
          <w:szCs w:val="24"/>
        </w:rPr>
        <w:t>”（“本项目”）通过拍拍在线（北京）拍卖有限公司举行的拍卖活动，声明同意如下：</w:t>
      </w:r>
    </w:p>
    <w:p w14:paraId="48161E87">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14:paraId="139DEE13">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14:paraId="2CC2F7E4">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14:paraId="4EACA704">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14:paraId="50901F57">
      <w:pPr>
        <w:widowControl/>
        <w:numPr>
          <w:ilvl w:val="0"/>
          <w:numId w:val="1"/>
        </w:numPr>
        <w:spacing w:line="560" w:lineRule="exact"/>
        <w:ind w:left="0" w:firstLine="480"/>
        <w:jc w:val="left"/>
        <w:rPr>
          <w:rFonts w:ascii="宋体" w:hAnsi="宋体"/>
          <w:sz w:val="24"/>
          <w:szCs w:val="24"/>
        </w:rPr>
      </w:pPr>
      <w:bookmarkStart w:id="2" w:name="_Hlt36897317"/>
      <w:bookmarkEnd w:id="2"/>
      <w:r>
        <w:rPr>
          <w:rFonts w:hint="eastAsia" w:ascii="宋体" w:hAnsi="宋体"/>
          <w:sz w:val="24"/>
          <w:szCs w:val="24"/>
        </w:rPr>
        <w:t>我方在此承诺，一旦我方成为本项目的最终买受人，我们将在5个工作日内，一次性向拍拍在线（北京）拍卖有限公司支付本项目成交价格的百分之伍（5%）的服务费。</w:t>
      </w:r>
    </w:p>
    <w:p w14:paraId="440F331C">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14:paraId="16287F3C">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14:paraId="2AA5CDE8">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本方同意，本方被确定为买受人后，因本方原因未履行《竞买须知及规则》规定而违约时，仍应向拍拍在线（北京）拍卖有限公司交纳本次交易中买受人及转让方应当支付的竞价服务费。</w:t>
      </w:r>
    </w:p>
    <w:p w14:paraId="35D8FE18">
      <w:pPr>
        <w:adjustRightInd w:val="0"/>
        <w:snapToGrid w:val="0"/>
        <w:spacing w:line="560" w:lineRule="exact"/>
        <w:rPr>
          <w:sz w:val="24"/>
          <w:szCs w:val="24"/>
        </w:rPr>
      </w:pPr>
    </w:p>
    <w:p w14:paraId="6098BD20">
      <w:pPr>
        <w:adjustRightInd w:val="0"/>
        <w:snapToGrid w:val="0"/>
        <w:spacing w:line="560" w:lineRule="exact"/>
        <w:rPr>
          <w:sz w:val="24"/>
          <w:szCs w:val="24"/>
          <w:u w:val="single"/>
        </w:rPr>
      </w:pPr>
      <w:r>
        <w:rPr>
          <w:sz w:val="24"/>
          <w:szCs w:val="24"/>
        </w:rPr>
        <w:t>意向</w:t>
      </w:r>
      <w:r>
        <w:rPr>
          <w:rFonts w:hint="eastAsia"/>
          <w:sz w:val="24"/>
          <w:szCs w:val="24"/>
        </w:rPr>
        <w:t>竞买人（盖章）</w:t>
      </w:r>
      <w:r>
        <w:rPr>
          <w:sz w:val="24"/>
          <w:szCs w:val="24"/>
        </w:rPr>
        <w:t>：</w:t>
      </w:r>
    </w:p>
    <w:p w14:paraId="5E9C6FBB">
      <w:pPr>
        <w:adjustRightInd w:val="0"/>
        <w:snapToGrid w:val="0"/>
        <w:spacing w:line="560" w:lineRule="exact"/>
        <w:rPr>
          <w:sz w:val="24"/>
          <w:szCs w:val="24"/>
        </w:rPr>
      </w:pPr>
    </w:p>
    <w:p w14:paraId="3277437C">
      <w:pPr>
        <w:adjustRightInd w:val="0"/>
        <w:snapToGrid w:val="0"/>
        <w:spacing w:line="560" w:lineRule="exact"/>
        <w:rPr>
          <w:sz w:val="24"/>
          <w:szCs w:val="24"/>
        </w:rPr>
      </w:pPr>
      <w:r>
        <w:rPr>
          <w:sz w:val="24"/>
          <w:szCs w:val="24"/>
        </w:rPr>
        <w:t>法定代表人</w:t>
      </w:r>
      <w:r>
        <w:rPr>
          <w:rFonts w:hint="eastAsia"/>
          <w:sz w:val="24"/>
          <w:szCs w:val="24"/>
        </w:rPr>
        <w:t>：</w:t>
      </w:r>
    </w:p>
    <w:p w14:paraId="2464AAC4">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44F7D5F4">
      <w:pPr>
        <w:adjustRightInd w:val="0"/>
        <w:snapToGrid w:val="0"/>
        <w:spacing w:line="560" w:lineRule="exact"/>
        <w:rPr>
          <w:sz w:val="24"/>
          <w:szCs w:val="24"/>
          <w:u w:val="single"/>
        </w:rPr>
      </w:pPr>
      <w:r>
        <w:rPr>
          <w:sz w:val="24"/>
          <w:szCs w:val="24"/>
        </w:rPr>
        <w:t>电话：</w:t>
      </w:r>
    </w:p>
    <w:p w14:paraId="72D7C6AE">
      <w:pPr>
        <w:adjustRightInd w:val="0"/>
        <w:snapToGrid w:val="0"/>
        <w:spacing w:line="560" w:lineRule="exact"/>
        <w:rPr>
          <w:sz w:val="24"/>
          <w:szCs w:val="24"/>
        </w:rPr>
      </w:pPr>
    </w:p>
    <w:p w14:paraId="5AEE07A2">
      <w:pPr>
        <w:adjustRightInd w:val="0"/>
        <w:snapToGrid w:val="0"/>
        <w:spacing w:line="560" w:lineRule="exact"/>
        <w:rPr>
          <w:sz w:val="24"/>
          <w:szCs w:val="24"/>
        </w:rPr>
      </w:pPr>
    </w:p>
    <w:p w14:paraId="78A7A698">
      <w:pPr>
        <w:adjustRightInd w:val="0"/>
        <w:snapToGrid w:val="0"/>
        <w:spacing w:line="560" w:lineRule="exact"/>
        <w:rPr>
          <w:sz w:val="24"/>
          <w:szCs w:val="24"/>
        </w:rPr>
      </w:pPr>
    </w:p>
    <w:p w14:paraId="1E395003">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7</w:t>
      </w:r>
      <w:r>
        <w:rPr>
          <w:rFonts w:hint="eastAsia"/>
          <w:sz w:val="24"/>
          <w:szCs w:val="24"/>
        </w:rPr>
        <w:t>日</w:t>
      </w:r>
      <w:bookmarkStart w:id="3" w:name="_Toc487410356"/>
    </w:p>
    <w:p w14:paraId="33559C2F">
      <w:pPr>
        <w:pStyle w:val="4"/>
        <w:adjustRightInd w:val="0"/>
        <w:snapToGrid w:val="0"/>
        <w:spacing w:before="156" w:beforeLines="50" w:line="560" w:lineRule="exact"/>
        <w:jc w:val="center"/>
        <w:outlineLvl w:val="1"/>
        <w:rPr>
          <w:rFonts w:hint="eastAsia" w:ascii="宋体" w:hAnsi="宋体"/>
          <w:b/>
          <w:sz w:val="28"/>
          <w:szCs w:val="28"/>
          <w:lang w:eastAsia="zh-CN"/>
        </w:rPr>
      </w:pPr>
    </w:p>
    <w:p w14:paraId="65835119">
      <w:pPr>
        <w:pStyle w:val="4"/>
        <w:adjustRightInd w:val="0"/>
        <w:snapToGrid w:val="0"/>
        <w:spacing w:before="156" w:beforeLines="50" w:line="560" w:lineRule="exact"/>
        <w:jc w:val="center"/>
        <w:outlineLvl w:val="1"/>
        <w:rPr>
          <w:rFonts w:hint="eastAsia" w:ascii="宋体" w:hAnsi="宋体"/>
          <w:b/>
          <w:sz w:val="28"/>
          <w:szCs w:val="28"/>
          <w:lang w:eastAsia="zh-CN"/>
        </w:rPr>
      </w:pPr>
    </w:p>
    <w:p w14:paraId="17BF4FE5">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14:paraId="2168BEA3">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8</w:t>
      </w:r>
      <w:r>
        <w:rPr>
          <w:rFonts w:ascii="宋体" w:hAnsi="宋体"/>
          <w:sz w:val="24"/>
          <w:szCs w:val="24"/>
        </w:rPr>
        <w:t>日</w:t>
      </w:r>
      <w:r>
        <w:rPr>
          <w:rFonts w:hint="eastAsia" w:ascii="宋体" w:hAnsi="宋体"/>
          <w:sz w:val="24"/>
          <w:szCs w:val="24"/>
        </w:rPr>
        <w:t>10</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14:paraId="4A6640C4">
      <w:pPr>
        <w:spacing w:line="360" w:lineRule="auto"/>
        <w:ind w:firstLine="480" w:firstLineChars="200"/>
        <w:rPr>
          <w:rFonts w:ascii="宋体" w:hAnsi="宋体"/>
          <w:sz w:val="24"/>
          <w:szCs w:val="24"/>
        </w:rPr>
      </w:pPr>
      <w:r>
        <w:rPr>
          <w:rFonts w:hint="eastAsia" w:ascii="宋体" w:hAnsi="宋体"/>
          <w:sz w:val="24"/>
          <w:szCs w:val="24"/>
        </w:rPr>
        <w:t>一、拍卖标的物：中石油煤层气有限责任公司</w:t>
      </w:r>
      <w:r>
        <w:rPr>
          <w:rFonts w:hint="eastAsia" w:ascii="宋体" w:hAnsi="宋体"/>
          <w:sz w:val="24"/>
          <w:szCs w:val="24"/>
          <w:lang w:val="en-US" w:eastAsia="zh-CN"/>
        </w:rPr>
        <w:t>临汾</w:t>
      </w:r>
      <w:r>
        <w:rPr>
          <w:rFonts w:hint="eastAsia" w:ascii="宋体" w:hAnsi="宋体"/>
          <w:sz w:val="24"/>
          <w:szCs w:val="24"/>
        </w:rPr>
        <w:t>分公司报废资产</w:t>
      </w:r>
      <w:r>
        <w:rPr>
          <w:rFonts w:hint="eastAsia" w:ascii="宋体" w:hAnsi="宋体"/>
          <w:sz w:val="24"/>
          <w:szCs w:val="24"/>
        </w:rPr>
        <w:t>。</w:t>
      </w:r>
    </w:p>
    <w:p w14:paraId="4FCF78F7">
      <w:pPr>
        <w:spacing w:line="360" w:lineRule="auto"/>
        <w:ind w:firstLine="480" w:firstLineChars="200"/>
        <w:rPr>
          <w:rFonts w:ascii="宋体" w:hAnsi="宋体"/>
          <w:sz w:val="24"/>
          <w:szCs w:val="24"/>
        </w:rPr>
      </w:pPr>
      <w:r>
        <w:rPr>
          <w:rFonts w:hint="eastAsia" w:ascii="宋体" w:hAnsi="宋体"/>
          <w:sz w:val="24"/>
          <w:szCs w:val="24"/>
        </w:rPr>
        <w:t>二、</w:t>
      </w:r>
      <w:r>
        <w:rPr>
          <w:rFonts w:ascii="宋体" w:hAnsi="宋体"/>
          <w:sz w:val="24"/>
          <w:szCs w:val="24"/>
        </w:rPr>
        <w:t xml:space="preserve">现场踏勘联系人：毕经理 </w:t>
      </w:r>
      <w:r>
        <w:rPr>
          <w:rFonts w:hint="eastAsia" w:ascii="宋体" w:hAnsi="宋体"/>
          <w:sz w:val="24"/>
          <w:szCs w:val="24"/>
        </w:rPr>
        <w:t>联系电话：</w:t>
      </w:r>
      <w:r>
        <w:rPr>
          <w:rFonts w:ascii="宋体" w:hAnsi="宋体"/>
          <w:sz w:val="24"/>
          <w:szCs w:val="24"/>
        </w:rPr>
        <w:t>18601287610</w:t>
      </w:r>
    </w:p>
    <w:p w14:paraId="44064B9F">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日10时20分止转为延时报价，延时报价</w:t>
      </w:r>
      <w:r>
        <w:rPr>
          <w:rFonts w:ascii="宋体" w:hAnsi="宋体"/>
          <w:sz w:val="24"/>
          <w:szCs w:val="24"/>
        </w:rPr>
        <w:t>3</w:t>
      </w:r>
      <w:r>
        <w:rPr>
          <w:rFonts w:hint="eastAsia" w:ascii="宋体" w:hAnsi="宋体"/>
          <w:sz w:val="24"/>
          <w:szCs w:val="24"/>
        </w:rPr>
        <w:t>分钟如果有竞买人出价，自动延迟</w:t>
      </w:r>
      <w:r>
        <w:rPr>
          <w:rFonts w:ascii="宋体" w:hAnsi="宋体"/>
          <w:sz w:val="24"/>
          <w:szCs w:val="24"/>
        </w:rPr>
        <w:t>3</w:t>
      </w:r>
      <w:r>
        <w:rPr>
          <w:rFonts w:hint="eastAsia" w:ascii="宋体" w:hAnsi="宋体"/>
          <w:sz w:val="24"/>
          <w:szCs w:val="24"/>
        </w:rPr>
        <w:t>分钟。</w:t>
      </w:r>
    </w:p>
    <w:p w14:paraId="408FE09D">
      <w:pPr>
        <w:spacing w:line="360" w:lineRule="auto"/>
        <w:ind w:firstLine="480" w:firstLineChars="200"/>
        <w:rPr>
          <w:rFonts w:ascii="宋体" w:hAnsi="宋体"/>
          <w:sz w:val="24"/>
          <w:szCs w:val="24"/>
        </w:rPr>
      </w:pPr>
      <w:r>
        <w:rPr>
          <w:rFonts w:hint="eastAsia" w:ascii="宋体" w:hAnsi="宋体"/>
          <w:sz w:val="24"/>
          <w:szCs w:val="24"/>
        </w:rPr>
        <w:t>四、特别提示。</w:t>
      </w:r>
    </w:p>
    <w:p w14:paraId="6AA8B64F">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14:paraId="6566D548">
      <w:pPr>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、拍卖方式</w:t>
      </w:r>
      <w:r>
        <w:rPr>
          <w:rFonts w:hint="eastAsia" w:ascii="宋体" w:hAnsi="宋体"/>
          <w:sz w:val="24"/>
          <w:szCs w:val="24"/>
        </w:rPr>
        <w:t>。</w:t>
      </w:r>
    </w:p>
    <w:p w14:paraId="35110A2B">
      <w:pPr>
        <w:spacing w:line="360" w:lineRule="auto"/>
        <w:ind w:firstLine="480" w:firstLineChars="200"/>
        <w:rPr>
          <w:rFonts w:ascii="宋体" w:hAnsi="宋体"/>
          <w:sz w:val="24"/>
          <w:szCs w:val="24"/>
        </w:rPr>
      </w:pP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14:paraId="69BFD362">
      <w:pPr>
        <w:spacing w:line="360" w:lineRule="auto"/>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、竞买人成功竞得标的物后，</w:t>
      </w:r>
      <w:r>
        <w:rPr>
          <w:rFonts w:hint="eastAsia" w:ascii="宋体" w:hAnsi="宋体"/>
          <w:sz w:val="24"/>
          <w:szCs w:val="24"/>
        </w:rPr>
        <w:t>签订</w:t>
      </w:r>
      <w:r>
        <w:rPr>
          <w:rFonts w:ascii="宋体" w:hAnsi="宋体"/>
          <w:sz w:val="24"/>
          <w:szCs w:val="24"/>
        </w:rPr>
        <w:t>《</w:t>
      </w:r>
      <w:r>
        <w:rPr>
          <w:rFonts w:hint="eastAsia" w:ascii="宋体" w:hAnsi="宋体"/>
          <w:sz w:val="24"/>
          <w:szCs w:val="24"/>
          <w:lang w:val="en-US" w:eastAsia="zh-CN"/>
        </w:rPr>
        <w:t>成交确认书</w:t>
      </w:r>
      <w:r>
        <w:rPr>
          <w:rFonts w:ascii="宋体" w:hAnsi="宋体"/>
          <w:sz w:val="24"/>
          <w:szCs w:val="24"/>
        </w:rPr>
        <w:t>》，确认书中载明实际买受人姓名、竞买</w:t>
      </w:r>
      <w:r>
        <w:rPr>
          <w:rFonts w:hint="eastAsia" w:ascii="宋体" w:hAnsi="宋体"/>
          <w:sz w:val="24"/>
          <w:szCs w:val="24"/>
        </w:rPr>
        <w:t>编</w:t>
      </w:r>
      <w:r>
        <w:rPr>
          <w:rFonts w:ascii="宋体" w:hAnsi="宋体"/>
          <w:sz w:val="24"/>
          <w:szCs w:val="24"/>
        </w:rPr>
        <w:t>号信息。</w:t>
      </w:r>
    </w:p>
    <w:p w14:paraId="7F1D468A">
      <w:pPr>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、竞买人悔拍后保证金的处理</w:t>
      </w:r>
      <w:r>
        <w:rPr>
          <w:rFonts w:hint="eastAsia" w:ascii="宋体" w:hAnsi="宋体"/>
          <w:sz w:val="24"/>
          <w:szCs w:val="24"/>
        </w:rPr>
        <w:t>。</w:t>
      </w:r>
    </w:p>
    <w:p w14:paraId="21282A93">
      <w:pPr>
        <w:spacing w:line="360" w:lineRule="auto"/>
        <w:ind w:firstLine="480" w:firstLineChars="200"/>
        <w:rPr>
          <w:rFonts w:ascii="宋体" w:hAnsi="宋体"/>
          <w:sz w:val="24"/>
          <w:szCs w:val="24"/>
        </w:rPr>
      </w:pPr>
      <w:r>
        <w:rPr>
          <w:rFonts w:ascii="宋体" w:hAnsi="宋体"/>
          <w:sz w:val="24"/>
          <w:szCs w:val="24"/>
        </w:rPr>
        <w:t>拍卖成交后买受人</w:t>
      </w:r>
      <w:r>
        <w:rPr>
          <w:rFonts w:hint="eastAsia" w:ascii="宋体" w:hAnsi="宋体"/>
          <w:sz w:val="24"/>
          <w:szCs w:val="24"/>
        </w:rPr>
        <w:t>拒不交纳成交价款的</w:t>
      </w:r>
      <w:r>
        <w:rPr>
          <w:rFonts w:ascii="宋体" w:hAnsi="宋体"/>
          <w:sz w:val="24"/>
          <w:szCs w:val="24"/>
        </w:rPr>
        <w:t>，交纳的保证金不予退还，依次用于支付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w:t>
      </w:r>
    </w:p>
    <w:p w14:paraId="1CF6086B">
      <w:pPr>
        <w:spacing w:line="360" w:lineRule="auto"/>
        <w:ind w:firstLine="480" w:firstLineChars="200"/>
        <w:rPr>
          <w:rFonts w:ascii="宋体" w:hAnsi="宋体"/>
          <w:sz w:val="24"/>
          <w:szCs w:val="24"/>
        </w:rPr>
      </w:pPr>
      <w:r>
        <w:rPr>
          <w:rFonts w:ascii="宋体" w:hAnsi="宋体"/>
          <w:sz w:val="24"/>
          <w:szCs w:val="24"/>
        </w:rPr>
        <w:t>悔拍后重新拍卖的，原买受人（包括委托他人竞买）不得参加竞买。</w:t>
      </w:r>
    </w:p>
    <w:p w14:paraId="25ADC17F">
      <w:pPr>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14:paraId="15E4E9B3">
      <w:pPr>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自提，运输、包装、拆除等所产生的所有费用</w:t>
      </w:r>
      <w:r>
        <w:rPr>
          <w:rFonts w:ascii="宋体" w:hAnsi="宋体"/>
          <w:sz w:val="24"/>
          <w:szCs w:val="24"/>
        </w:rPr>
        <w:t>由买受人自行承担。</w:t>
      </w:r>
    </w:p>
    <w:p w14:paraId="09E63339">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将全部交易价款交纳至转让方指定账户后方可退还</w:t>
      </w:r>
      <w:r>
        <w:rPr>
          <w:rFonts w:ascii="宋体" w:hAnsi="宋体"/>
          <w:sz w:val="24"/>
          <w:szCs w:val="24"/>
        </w:rPr>
        <w:t>竞买人锁定的保证金自动释放，锁定期间</w:t>
      </w:r>
      <w:r>
        <w:rPr>
          <w:rFonts w:hint="eastAsia" w:ascii="宋体" w:hAnsi="宋体"/>
          <w:sz w:val="24"/>
          <w:szCs w:val="24"/>
        </w:rPr>
        <w:t>（7-10个工作日）</w:t>
      </w:r>
      <w:r>
        <w:rPr>
          <w:rFonts w:ascii="宋体" w:hAnsi="宋体"/>
          <w:sz w:val="24"/>
          <w:szCs w:val="24"/>
        </w:rPr>
        <w:t>不计利息。</w:t>
      </w:r>
    </w:p>
    <w:p w14:paraId="5F47D837">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14:paraId="623E8CE5">
      <w:pPr>
        <w:spacing w:line="360" w:lineRule="auto"/>
        <w:ind w:firstLine="480" w:firstLineChars="200"/>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14:paraId="14B02202">
      <w:pPr>
        <w:spacing w:line="360" w:lineRule="auto"/>
        <w:ind w:firstLine="480" w:firstLineChars="200"/>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44156105">
      <w:pPr>
        <w:spacing w:line="360" w:lineRule="auto"/>
        <w:ind w:firstLine="480" w:firstLineChars="200"/>
        <w:rPr>
          <w:rFonts w:ascii="宋体" w:hAnsi="宋体"/>
          <w:sz w:val="24"/>
          <w:szCs w:val="24"/>
        </w:rPr>
      </w:pPr>
      <w:r>
        <w:rPr>
          <w:rFonts w:ascii="宋体" w:hAnsi="宋体"/>
          <w:sz w:val="24"/>
          <w:szCs w:val="24"/>
        </w:rPr>
        <w:t>咨询电话：4008003698</w:t>
      </w:r>
    </w:p>
    <w:p w14:paraId="0337E2CC">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120467C1">
      <w:pPr>
        <w:spacing w:line="360" w:lineRule="auto"/>
        <w:ind w:firstLine="480" w:firstLineChars="200"/>
        <w:rPr>
          <w:rFonts w:ascii="宋体" w:hAnsi="宋体"/>
          <w:sz w:val="24"/>
          <w:szCs w:val="24"/>
        </w:rPr>
      </w:pPr>
      <w:r>
        <w:rPr>
          <w:rFonts w:ascii="宋体" w:hAnsi="宋体"/>
          <w:sz w:val="24"/>
          <w:szCs w:val="24"/>
        </w:rPr>
        <w:t> </w:t>
      </w:r>
    </w:p>
    <w:p w14:paraId="4E0D2112">
      <w:pPr>
        <w:pStyle w:val="2"/>
      </w:pPr>
    </w:p>
    <w:p w14:paraId="68BA84BB">
      <w:pPr>
        <w:spacing w:line="360" w:lineRule="auto"/>
        <w:ind w:firstLine="2640" w:firstLineChars="1100"/>
        <w:rPr>
          <w:rFonts w:ascii="宋体" w:hAnsi="宋体"/>
          <w:sz w:val="24"/>
          <w:szCs w:val="24"/>
        </w:rPr>
      </w:pPr>
      <w:r>
        <w:rPr>
          <w:rFonts w:hint="eastAsia" w:ascii="宋体" w:hAnsi="宋体"/>
          <w:sz w:val="24"/>
          <w:szCs w:val="24"/>
        </w:rPr>
        <w:t>意向竞买人（签章已确认）：</w:t>
      </w:r>
      <w:r>
        <w:rPr>
          <w:rFonts w:ascii="宋体" w:hAnsi="宋体"/>
          <w:sz w:val="24"/>
          <w:szCs w:val="24"/>
        </w:rPr>
        <w:t> </w:t>
      </w:r>
    </w:p>
    <w:p w14:paraId="5682E7ED">
      <w:pPr>
        <w:spacing w:line="360" w:lineRule="auto"/>
        <w:ind w:firstLine="480" w:firstLineChars="200"/>
        <w:rPr>
          <w:rFonts w:ascii="宋体" w:hAnsi="宋体"/>
          <w:sz w:val="24"/>
          <w:szCs w:val="24"/>
        </w:rPr>
      </w:pPr>
      <w:r>
        <w:rPr>
          <w:rFonts w:hint="eastAsia" w:ascii="宋体" w:hAnsi="宋体"/>
          <w:sz w:val="24"/>
          <w:szCs w:val="24"/>
        </w:rPr>
        <w:t xml:space="preserve">                             </w:t>
      </w:r>
    </w:p>
    <w:p w14:paraId="770861CF">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p>
    <w:p w14:paraId="179D45ED">
      <w:pPr>
        <w:pStyle w:val="23"/>
        <w:ind w:firstLine="320" w:firstLineChars="100"/>
        <w:jc w:val="center"/>
        <w:rPr>
          <w:rFonts w:ascii="Tahoma" w:hAnsi="Tahoma" w:cs="Tahoma"/>
          <w:b/>
          <w:color w:val="000000"/>
          <w:sz w:val="32"/>
          <w:szCs w:val="32"/>
        </w:rPr>
      </w:pPr>
    </w:p>
    <w:p w14:paraId="0790552A">
      <w:pPr>
        <w:pStyle w:val="23"/>
        <w:ind w:firstLine="320" w:firstLineChars="100"/>
        <w:jc w:val="center"/>
        <w:rPr>
          <w:rFonts w:ascii="Tahoma" w:hAnsi="Tahoma" w:cs="Tahoma"/>
          <w:b/>
          <w:color w:val="000000"/>
          <w:sz w:val="32"/>
          <w:szCs w:val="32"/>
        </w:rPr>
      </w:pPr>
    </w:p>
    <w:p w14:paraId="471FEB59">
      <w:pPr>
        <w:pStyle w:val="23"/>
        <w:ind w:firstLine="320" w:firstLineChars="100"/>
        <w:jc w:val="center"/>
        <w:rPr>
          <w:rFonts w:ascii="Tahoma" w:hAnsi="Tahoma" w:cs="Tahoma"/>
          <w:b/>
          <w:color w:val="000000"/>
          <w:sz w:val="32"/>
          <w:szCs w:val="32"/>
        </w:rPr>
      </w:pPr>
    </w:p>
    <w:p w14:paraId="2E948CED">
      <w:pPr>
        <w:pStyle w:val="23"/>
        <w:ind w:firstLine="320" w:firstLineChars="100"/>
        <w:jc w:val="center"/>
        <w:rPr>
          <w:rFonts w:ascii="Tahoma" w:hAnsi="Tahoma" w:cs="Tahoma"/>
          <w:b/>
          <w:color w:val="000000"/>
          <w:sz w:val="32"/>
          <w:szCs w:val="32"/>
        </w:rPr>
      </w:pPr>
    </w:p>
    <w:p w14:paraId="13EF208A">
      <w:pPr>
        <w:pStyle w:val="23"/>
        <w:ind w:firstLine="320" w:firstLineChars="100"/>
        <w:jc w:val="center"/>
        <w:rPr>
          <w:rFonts w:ascii="Tahoma" w:hAnsi="Tahoma" w:cs="Tahoma"/>
          <w:b/>
          <w:color w:val="000000"/>
          <w:sz w:val="32"/>
          <w:szCs w:val="32"/>
        </w:rPr>
      </w:pPr>
    </w:p>
    <w:p w14:paraId="57C009B3">
      <w:pPr>
        <w:pStyle w:val="23"/>
        <w:ind w:firstLine="320" w:firstLineChars="100"/>
        <w:jc w:val="center"/>
        <w:rPr>
          <w:rFonts w:ascii="Tahoma" w:hAnsi="Tahoma" w:cs="Tahoma"/>
          <w:b/>
          <w:color w:val="000000"/>
          <w:sz w:val="32"/>
          <w:szCs w:val="32"/>
        </w:rPr>
      </w:pPr>
    </w:p>
    <w:p w14:paraId="7D410160">
      <w:pPr>
        <w:pStyle w:val="23"/>
        <w:ind w:firstLine="320" w:firstLineChars="100"/>
        <w:jc w:val="center"/>
        <w:rPr>
          <w:rFonts w:ascii="Tahoma" w:hAnsi="Tahoma" w:cs="Tahoma"/>
          <w:b/>
          <w:color w:val="000000"/>
          <w:sz w:val="32"/>
          <w:szCs w:val="32"/>
        </w:rPr>
      </w:pPr>
    </w:p>
    <w:p w14:paraId="41DEA88D">
      <w:pPr>
        <w:pStyle w:val="23"/>
        <w:ind w:firstLine="320" w:firstLineChars="100"/>
        <w:jc w:val="center"/>
        <w:rPr>
          <w:rFonts w:ascii="Tahoma" w:hAnsi="Tahoma" w:cs="Tahoma"/>
          <w:b/>
          <w:color w:val="000000"/>
          <w:sz w:val="32"/>
          <w:szCs w:val="32"/>
        </w:rPr>
      </w:pPr>
    </w:p>
    <w:p w14:paraId="15F4F9A0">
      <w:pPr>
        <w:pStyle w:val="23"/>
        <w:ind w:firstLine="320" w:firstLineChars="100"/>
        <w:jc w:val="center"/>
        <w:rPr>
          <w:rFonts w:ascii="Tahoma" w:hAnsi="Tahoma" w:cs="Tahoma"/>
          <w:b/>
          <w:color w:val="000000"/>
          <w:sz w:val="32"/>
          <w:szCs w:val="32"/>
        </w:rPr>
      </w:pPr>
    </w:p>
    <w:p w14:paraId="72191EC7">
      <w:pPr>
        <w:pStyle w:val="23"/>
        <w:ind w:firstLine="320" w:firstLineChars="100"/>
        <w:jc w:val="center"/>
        <w:rPr>
          <w:rFonts w:ascii="Tahoma" w:hAnsi="Tahoma" w:cs="Tahoma"/>
          <w:b/>
          <w:color w:val="000000"/>
          <w:sz w:val="32"/>
          <w:szCs w:val="32"/>
        </w:rPr>
      </w:pPr>
    </w:p>
    <w:p w14:paraId="48BEA636">
      <w:pPr>
        <w:pStyle w:val="23"/>
        <w:ind w:firstLine="320" w:firstLineChars="100"/>
        <w:jc w:val="center"/>
        <w:rPr>
          <w:rFonts w:ascii="Tahoma" w:hAnsi="Tahoma" w:cs="Tahoma"/>
          <w:b/>
          <w:color w:val="000000"/>
          <w:sz w:val="32"/>
          <w:szCs w:val="32"/>
        </w:rPr>
      </w:pPr>
    </w:p>
    <w:p w14:paraId="54FB5170">
      <w:pPr>
        <w:pStyle w:val="23"/>
        <w:ind w:firstLine="320" w:firstLineChars="100"/>
        <w:jc w:val="center"/>
        <w:rPr>
          <w:rFonts w:ascii="Tahoma" w:hAnsi="Tahoma" w:cs="Tahoma"/>
          <w:b/>
          <w:color w:val="000000"/>
          <w:sz w:val="32"/>
          <w:szCs w:val="32"/>
        </w:rPr>
      </w:pPr>
    </w:p>
    <w:p w14:paraId="48701E23">
      <w:pPr>
        <w:pStyle w:val="23"/>
        <w:rPr>
          <w:rFonts w:ascii="Tahoma" w:hAnsi="Tahoma" w:cs="Tahoma"/>
          <w:b/>
          <w:color w:val="000000"/>
          <w:sz w:val="32"/>
          <w:szCs w:val="32"/>
        </w:rPr>
      </w:pPr>
    </w:p>
    <w:p w14:paraId="10410680">
      <w:pPr>
        <w:pStyle w:val="23"/>
        <w:spacing w:line="560" w:lineRule="exact"/>
        <w:ind w:firstLine="320" w:firstLineChars="100"/>
        <w:jc w:val="center"/>
        <w:rPr>
          <w:rFonts w:ascii="Tahoma" w:hAnsi="Tahoma" w:cs="Tahoma"/>
          <w:b/>
          <w:color w:val="000000"/>
          <w:sz w:val="32"/>
          <w:szCs w:val="32"/>
        </w:rPr>
      </w:pPr>
    </w:p>
    <w:p w14:paraId="29A3118D">
      <w:pPr>
        <w:pStyle w:val="23"/>
        <w:spacing w:line="560" w:lineRule="exact"/>
        <w:ind w:firstLine="320" w:firstLineChars="100"/>
        <w:jc w:val="center"/>
        <w:rPr>
          <w:rFonts w:ascii="Tahoma" w:hAnsi="Tahoma" w:cs="Tahoma"/>
          <w:b/>
          <w:color w:val="000000"/>
          <w:sz w:val="32"/>
          <w:szCs w:val="32"/>
        </w:rPr>
      </w:pPr>
    </w:p>
    <w:p w14:paraId="6FE518C6">
      <w:pPr>
        <w:pStyle w:val="23"/>
        <w:spacing w:line="560" w:lineRule="exact"/>
        <w:ind w:firstLine="320" w:firstLineChars="100"/>
        <w:jc w:val="center"/>
        <w:rPr>
          <w:rFonts w:ascii="Tahoma" w:hAnsi="Tahoma" w:cs="Tahoma"/>
          <w:b/>
          <w:color w:val="000000"/>
          <w:sz w:val="32"/>
          <w:szCs w:val="32"/>
        </w:rPr>
      </w:pPr>
      <w:r>
        <w:rPr>
          <w:rFonts w:hint="eastAsia" w:ascii="Tahoma" w:hAnsi="Tahoma" w:cs="Tahoma"/>
          <w:b/>
          <w:color w:val="000000"/>
          <w:sz w:val="32"/>
          <w:szCs w:val="32"/>
        </w:rPr>
        <w:t>竞买规则及须知</w:t>
      </w:r>
    </w:p>
    <w:p w14:paraId="42F459DE">
      <w:pPr>
        <w:spacing w:line="560" w:lineRule="exact"/>
        <w:ind w:firstLine="480" w:firstLineChars="200"/>
        <w:rPr>
          <w:rFonts w:ascii="宋体" w:hAnsi="宋体"/>
          <w:sz w:val="24"/>
          <w:szCs w:val="24"/>
        </w:rPr>
      </w:pPr>
    </w:p>
    <w:p w14:paraId="33286FE4">
      <w:pPr>
        <w:spacing w:line="560" w:lineRule="exact"/>
        <w:ind w:firstLine="480" w:firstLineChars="200"/>
        <w:rPr>
          <w:rFonts w:ascii="宋体" w:hAnsi="宋体"/>
          <w:sz w:val="24"/>
          <w:szCs w:val="24"/>
          <w:highlight w:val="yellow"/>
        </w:rPr>
      </w:pPr>
      <w:r>
        <w:rPr>
          <w:rFonts w:hint="eastAsia" w:ascii="宋体" w:hAnsi="宋体"/>
          <w:sz w:val="24"/>
          <w:szCs w:val="24"/>
        </w:rPr>
        <w:t>本公司受委托对中石油煤层气有限责任公司</w:t>
      </w:r>
      <w:r>
        <w:rPr>
          <w:rFonts w:hint="eastAsia" w:ascii="宋体" w:hAnsi="宋体"/>
          <w:sz w:val="24"/>
          <w:szCs w:val="24"/>
          <w:lang w:val="en-US" w:eastAsia="zh-CN"/>
        </w:rPr>
        <w:t>临汾</w:t>
      </w:r>
      <w:r>
        <w:rPr>
          <w:rFonts w:hint="eastAsia" w:ascii="宋体" w:hAnsi="宋体"/>
          <w:sz w:val="24"/>
          <w:szCs w:val="24"/>
        </w:rPr>
        <w:t>分公司报废资产</w:t>
      </w:r>
      <w:r>
        <w:rPr>
          <w:rFonts w:hint="eastAsia" w:ascii="宋体" w:hAnsi="宋体"/>
          <w:sz w:val="24"/>
          <w:szCs w:val="24"/>
        </w:rPr>
        <w:t xml:space="preserve">项目在http://www.ppzxchina.cn进行公开拍卖，为切实保障拍卖当事人的权利和义务，根据《中华人民共和国拍卖法》、《中华人民共和国民法典》《中华人民共和国公司法》、《中华人民共和国企业国有资产法》、《企业国有资产交易监督管理办法》等法律法规，本着公开、公平、公正、诚实信用的原则，特制定本须知及规则，共同遵守。 </w:t>
      </w:r>
    </w:p>
    <w:p w14:paraId="31595A4A">
      <w:pPr>
        <w:spacing w:line="560" w:lineRule="exact"/>
        <w:ind w:firstLine="480" w:firstLineChars="200"/>
        <w:rPr>
          <w:rFonts w:ascii="宋体" w:hAnsi="宋体"/>
          <w:sz w:val="24"/>
          <w:szCs w:val="24"/>
        </w:rPr>
      </w:pPr>
      <w:r>
        <w:rPr>
          <w:rFonts w:hint="eastAsia" w:ascii="宋体" w:hAnsi="宋体"/>
          <w:sz w:val="24"/>
          <w:szCs w:val="24"/>
        </w:rPr>
        <w:t>1、本次竞价活动在公开、平等竞争的条件下进行，一切活动都具备法律效力。</w:t>
      </w:r>
    </w:p>
    <w:p w14:paraId="4BE9A844">
      <w:pPr>
        <w:spacing w:line="560" w:lineRule="exact"/>
        <w:ind w:firstLine="480" w:firstLineChars="200"/>
        <w:rPr>
          <w:rFonts w:ascii="宋体" w:hAnsi="宋体"/>
          <w:sz w:val="24"/>
          <w:szCs w:val="24"/>
        </w:rPr>
      </w:pPr>
      <w:r>
        <w:rPr>
          <w:rFonts w:hint="eastAsia" w:ascii="宋体" w:hAnsi="宋体"/>
          <w:sz w:val="24"/>
          <w:szCs w:val="24"/>
        </w:rPr>
        <w:t>2、凡报名参加的竞买者，应事先了解竞价标的，取得有效的竞买凭证。竞买人应在20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 xml:space="preserve">日17：00前在http://www.ppzxchina.cn注册账号及交纳竞买保证金（线上支付），并按要求上传资质材料申请竞买人资格。 </w:t>
      </w:r>
    </w:p>
    <w:p w14:paraId="5DE91B4F">
      <w:pPr>
        <w:spacing w:line="560" w:lineRule="exact"/>
        <w:ind w:firstLine="480" w:firstLineChars="200"/>
        <w:rPr>
          <w:rFonts w:ascii="宋体" w:hAnsi="宋体"/>
          <w:sz w:val="24"/>
          <w:szCs w:val="24"/>
        </w:rPr>
      </w:pPr>
      <w:r>
        <w:rPr>
          <w:rFonts w:hint="eastAsia" w:ascii="宋体" w:hAnsi="宋体"/>
          <w:sz w:val="24"/>
          <w:szCs w:val="24"/>
        </w:rPr>
        <w:t>3、竞价过程中，竞买人要认真严肃地进行竞买并为自己的竞价行为付相应的法律责任。</w:t>
      </w:r>
    </w:p>
    <w:p w14:paraId="52C98109">
      <w:pPr>
        <w:spacing w:line="560" w:lineRule="exact"/>
        <w:ind w:firstLine="480" w:firstLineChars="200"/>
        <w:rPr>
          <w:sz w:val="24"/>
          <w:szCs w:val="24"/>
        </w:rPr>
      </w:pPr>
      <w:r>
        <w:rPr>
          <w:rFonts w:hint="eastAsia" w:ascii="宋体" w:hAnsi="宋体"/>
          <w:sz w:val="24"/>
          <w:szCs w:val="24"/>
        </w:rPr>
        <w:t>4、本次竞价以设有保留价的增价竞价方式，</w:t>
      </w:r>
      <w:r>
        <w:rPr>
          <w:rFonts w:hint="eastAsia"/>
          <w:sz w:val="24"/>
          <w:szCs w:val="24"/>
        </w:rPr>
        <w:t>保留价等于起拍价，</w:t>
      </w:r>
      <w:r>
        <w:rPr>
          <w:sz w:val="24"/>
          <w:szCs w:val="24"/>
        </w:rPr>
        <w:t>至少</w:t>
      </w:r>
      <w:r>
        <w:rPr>
          <w:rFonts w:hint="eastAsia"/>
          <w:sz w:val="24"/>
          <w:szCs w:val="24"/>
        </w:rPr>
        <w:t>两</w:t>
      </w:r>
      <w:r>
        <w:rPr>
          <w:sz w:val="24"/>
          <w:szCs w:val="24"/>
        </w:rPr>
        <w:t>人报名且出价不低于</w:t>
      </w:r>
      <w:r>
        <w:rPr>
          <w:rFonts w:hint="eastAsia"/>
          <w:sz w:val="24"/>
          <w:szCs w:val="24"/>
        </w:rPr>
        <w:t>保留</w:t>
      </w:r>
      <w:r>
        <w:rPr>
          <w:sz w:val="24"/>
          <w:szCs w:val="24"/>
        </w:rPr>
        <w:t>价，方可成交。</w:t>
      </w:r>
    </w:p>
    <w:p w14:paraId="17682039">
      <w:pPr>
        <w:spacing w:line="560" w:lineRule="exact"/>
        <w:ind w:firstLine="480" w:firstLineChars="200"/>
        <w:rPr>
          <w:rFonts w:ascii="宋体" w:hAnsi="宋体"/>
          <w:sz w:val="24"/>
          <w:szCs w:val="24"/>
        </w:rPr>
      </w:pPr>
      <w:r>
        <w:rPr>
          <w:rFonts w:hint="eastAsia" w:ascii="宋体" w:hAnsi="宋体"/>
          <w:sz w:val="24"/>
          <w:szCs w:val="24"/>
        </w:rPr>
        <w:t>5、成交后，买受人联系本标的联系人签订《</w:t>
      </w:r>
      <w:r>
        <w:rPr>
          <w:rFonts w:hint="eastAsia" w:ascii="宋体" w:hAnsi="宋体"/>
          <w:sz w:val="24"/>
          <w:szCs w:val="24"/>
          <w:lang w:val="en-US" w:eastAsia="zh-CN"/>
        </w:rPr>
        <w:t>成交确认书</w:t>
      </w:r>
      <w:r>
        <w:rPr>
          <w:rFonts w:hint="eastAsia" w:ascii="宋体" w:hAnsi="宋体"/>
          <w:sz w:val="24"/>
          <w:szCs w:val="24"/>
        </w:rPr>
        <w:t>》，并在拍卖成交之日起</w:t>
      </w:r>
      <w:r>
        <w:rPr>
          <w:rFonts w:hint="eastAsia" w:ascii="宋体" w:hAnsi="宋体"/>
          <w:sz w:val="24"/>
          <w:szCs w:val="24"/>
          <w:lang w:val="en-US" w:eastAsia="zh-CN"/>
        </w:rPr>
        <w:t>20</w:t>
      </w:r>
      <w:r>
        <w:rPr>
          <w:rFonts w:hint="eastAsia" w:ascii="宋体" w:hAnsi="宋体"/>
          <w:sz w:val="24"/>
          <w:szCs w:val="24"/>
        </w:rPr>
        <w:t>个工作日内与转让方签订</w:t>
      </w:r>
      <w:r>
        <w:rPr>
          <w:rFonts w:ascii="宋体" w:hAnsi="宋体"/>
          <w:sz w:val="24"/>
          <w:szCs w:val="24"/>
        </w:rPr>
        <w:t>《</w:t>
      </w:r>
      <w:r>
        <w:rPr>
          <w:rFonts w:hint="eastAsia" w:ascii="宋体" w:hAnsi="宋体"/>
          <w:sz w:val="24"/>
          <w:szCs w:val="24"/>
        </w:rPr>
        <w:t>资产交易</w:t>
      </w:r>
      <w:r>
        <w:rPr>
          <w:rFonts w:ascii="宋体" w:hAnsi="宋体"/>
          <w:sz w:val="24"/>
          <w:szCs w:val="24"/>
        </w:rPr>
        <w:t>合同》</w:t>
      </w:r>
      <w:r>
        <w:rPr>
          <w:rFonts w:hint="eastAsia" w:ascii="宋体" w:hAnsi="宋体"/>
          <w:sz w:val="24"/>
          <w:szCs w:val="24"/>
        </w:rPr>
        <w:t>，同时将全部成交价款支付至转让方指定账户，买受人若不签订上述文件、相关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w:t>
      </w:r>
    </w:p>
    <w:p w14:paraId="10A8D80B">
      <w:pPr>
        <w:spacing w:line="560" w:lineRule="exact"/>
        <w:ind w:firstLine="480" w:firstLineChars="200"/>
        <w:rPr>
          <w:rFonts w:ascii="宋体" w:hAnsi="宋体"/>
          <w:sz w:val="24"/>
          <w:szCs w:val="24"/>
        </w:rPr>
      </w:pPr>
      <w:r>
        <w:rPr>
          <w:rFonts w:hint="eastAsia" w:ascii="宋体" w:hAnsi="宋体"/>
          <w:sz w:val="24"/>
          <w:szCs w:val="24"/>
        </w:rPr>
        <w:t>6、佣金按成交价的5%支付。</w:t>
      </w:r>
    </w:p>
    <w:p w14:paraId="3874CD5A">
      <w:pPr>
        <w:spacing w:line="560" w:lineRule="exact"/>
        <w:ind w:firstLine="480" w:firstLineChars="200"/>
        <w:rPr>
          <w:rFonts w:ascii="宋体" w:hAnsi="宋体"/>
          <w:sz w:val="24"/>
          <w:szCs w:val="24"/>
        </w:rPr>
      </w:pPr>
      <w:r>
        <w:rPr>
          <w:rFonts w:hint="eastAsia" w:ascii="宋体" w:hAnsi="宋体"/>
          <w:sz w:val="24"/>
          <w:szCs w:val="24"/>
        </w:rPr>
        <w:t>7、买受人交纳成交价款及佣金后自行到标的企业处办理移交手续。</w:t>
      </w:r>
    </w:p>
    <w:p w14:paraId="73F6C7BD">
      <w:pPr>
        <w:spacing w:line="560" w:lineRule="exact"/>
        <w:ind w:firstLine="480" w:firstLineChars="200"/>
        <w:rPr>
          <w:rFonts w:ascii="宋体" w:hAnsi="宋体"/>
          <w:sz w:val="24"/>
          <w:szCs w:val="24"/>
        </w:rPr>
      </w:pPr>
      <w:r>
        <w:rPr>
          <w:rFonts w:hint="eastAsia" w:ascii="宋体" w:hAnsi="宋体"/>
          <w:sz w:val="24"/>
          <w:szCs w:val="24"/>
        </w:rPr>
        <w:t>8、竞价结束后，未竞买成功的竞买人申请退款。</w:t>
      </w:r>
    </w:p>
    <w:p w14:paraId="5D5999E4">
      <w:pPr>
        <w:spacing w:line="560" w:lineRule="exact"/>
        <w:ind w:firstLine="480" w:firstLineChars="200"/>
        <w:rPr>
          <w:rFonts w:ascii="宋体" w:hAnsi="宋体"/>
          <w:sz w:val="24"/>
          <w:szCs w:val="24"/>
        </w:rPr>
      </w:pPr>
      <w:r>
        <w:rPr>
          <w:rFonts w:hint="eastAsia" w:ascii="宋体" w:hAnsi="宋体"/>
          <w:sz w:val="24"/>
          <w:szCs w:val="24"/>
        </w:rPr>
        <w:t>9、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14:paraId="51719FF6">
      <w:pPr>
        <w:pStyle w:val="23"/>
        <w:spacing w:line="560" w:lineRule="exact"/>
        <w:jc w:val="center"/>
        <w:rPr>
          <w:rFonts w:ascii="Tahoma" w:hAnsi="Tahoma" w:cs="Tahoma"/>
          <w:b/>
          <w:color w:val="000000"/>
          <w:sz w:val="32"/>
          <w:szCs w:val="32"/>
        </w:rPr>
      </w:pPr>
      <w:r>
        <w:rPr>
          <w:rFonts w:hint="eastAsia" w:ascii="Tahoma" w:hAnsi="Tahoma" w:cs="Tahoma"/>
          <w:b/>
          <w:color w:val="000000"/>
          <w:sz w:val="32"/>
          <w:szCs w:val="32"/>
        </w:rPr>
        <w:t>拍 卖 标 的</w:t>
      </w:r>
    </w:p>
    <w:p w14:paraId="0F127BEF">
      <w:pPr>
        <w:spacing w:line="560" w:lineRule="exact"/>
        <w:rPr>
          <w:rFonts w:ascii="宋体" w:hAnsi="宋体"/>
          <w:sz w:val="24"/>
          <w:szCs w:val="24"/>
        </w:rPr>
      </w:pPr>
      <w:r>
        <w:rPr>
          <w:rFonts w:hint="eastAsia" w:ascii="宋体" w:hAnsi="宋体"/>
          <w:sz w:val="24"/>
          <w:szCs w:val="24"/>
        </w:rPr>
        <w:t>特别说明：</w:t>
      </w:r>
    </w:p>
    <w:p w14:paraId="532931F3">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、拍卖标的转让方不保证能继续使用，数量，种类、规格、品质、型号均以现场实物为准，本公司及委托方均不承担瑕疵担保责任。</w:t>
      </w:r>
    </w:p>
    <w:p w14:paraId="6E6E24F8">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rFonts w:ascii="宋体" w:hAnsi="宋体"/>
          <w:sz w:val="24"/>
          <w:szCs w:val="24"/>
        </w:rPr>
        <w:t>《</w:t>
      </w:r>
      <w:r>
        <w:rPr>
          <w:rFonts w:hint="eastAsia" w:ascii="宋体" w:hAnsi="宋体"/>
          <w:sz w:val="24"/>
          <w:szCs w:val="24"/>
        </w:rPr>
        <w:t>资产交易合同</w:t>
      </w:r>
      <w:r>
        <w:rPr>
          <w:rFonts w:ascii="宋体" w:hAnsi="宋体"/>
          <w:sz w:val="24"/>
          <w:szCs w:val="24"/>
        </w:rPr>
        <w:t>》</w:t>
      </w:r>
      <w:r>
        <w:rPr>
          <w:rFonts w:hint="eastAsia" w:ascii="宋体" w:hAnsi="宋体"/>
          <w:sz w:val="24"/>
          <w:szCs w:val="24"/>
        </w:rPr>
        <w:t>中规定的期限完成标的提取工作，买受人必须按照合同相关规定提取标的。</w:t>
      </w:r>
    </w:p>
    <w:p w14:paraId="128D3B4D">
      <w:pPr>
        <w:spacing w:line="560" w:lineRule="exact"/>
        <w:ind w:firstLine="480" w:firstLineChars="200"/>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公告</w:t>
      </w:r>
      <w:r>
        <w:rPr>
          <w:rFonts w:ascii="宋体" w:hAnsi="宋体"/>
          <w:sz w:val="24"/>
          <w:szCs w:val="24"/>
        </w:rPr>
        <w:t>附件所列的</w:t>
      </w:r>
      <w:r>
        <w:rPr>
          <w:rFonts w:hint="eastAsia" w:ascii="宋体" w:hAnsi="宋体"/>
          <w:sz w:val="24"/>
          <w:szCs w:val="24"/>
        </w:rPr>
        <w:t>竞买文件</w:t>
      </w:r>
      <w:r>
        <w:rPr>
          <w:rFonts w:ascii="宋体" w:hAnsi="宋体"/>
          <w:sz w:val="24"/>
          <w:szCs w:val="24"/>
        </w:rPr>
        <w:t>等材料一并提交。</w:t>
      </w:r>
    </w:p>
    <w:p w14:paraId="4F28C087">
      <w:pPr>
        <w:spacing w:line="560" w:lineRule="exact"/>
        <w:ind w:firstLine="480" w:firstLineChars="200"/>
        <w:rPr>
          <w:rFonts w:ascii="宋体" w:hAnsi="宋体"/>
          <w:sz w:val="24"/>
          <w:szCs w:val="24"/>
        </w:rPr>
      </w:pPr>
      <w:r>
        <w:rPr>
          <w:rFonts w:hint="eastAsia" w:ascii="宋体" w:hAnsi="宋体"/>
          <w:sz w:val="24"/>
          <w:szCs w:val="24"/>
        </w:rPr>
        <w:t>4、本次拍卖价格为含税价。本次标的资产成交后且转让方对收到全部交易价款后按照相关政策的要求开具发票。</w:t>
      </w:r>
    </w:p>
    <w:p w14:paraId="5AFAAF8B">
      <w:pPr>
        <w:spacing w:line="560" w:lineRule="exact"/>
        <w:rPr>
          <w:rFonts w:ascii="宋体" w:hAnsi="宋体"/>
          <w:sz w:val="24"/>
          <w:szCs w:val="24"/>
        </w:rPr>
      </w:pPr>
      <w:bookmarkStart w:id="4" w:name="_GoBack"/>
      <w:r>
        <w:rPr>
          <w:rFonts w:hint="eastAsia" w:ascii="宋体" w:hAnsi="宋体"/>
          <w:sz w:val="24"/>
          <w:szCs w:val="24"/>
        </w:rPr>
        <w:t>标的名称：中石油煤层气有限责任公司</w:t>
      </w:r>
      <w:r>
        <w:rPr>
          <w:rFonts w:hint="eastAsia" w:ascii="宋体" w:hAnsi="宋体"/>
          <w:sz w:val="24"/>
          <w:szCs w:val="24"/>
          <w:lang w:val="en-US" w:eastAsia="zh-CN"/>
        </w:rPr>
        <w:t>临汾</w:t>
      </w:r>
      <w:r>
        <w:rPr>
          <w:rFonts w:hint="eastAsia" w:ascii="宋体" w:hAnsi="宋体"/>
          <w:sz w:val="24"/>
          <w:szCs w:val="24"/>
        </w:rPr>
        <w:t>分公司报废资产</w:t>
      </w:r>
    </w:p>
    <w:p w14:paraId="5E98B4DD">
      <w:pPr>
        <w:spacing w:line="560" w:lineRule="exact"/>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460300</w:t>
      </w:r>
      <w:r>
        <w:rPr>
          <w:rFonts w:hint="eastAsia" w:ascii="宋体" w:hAnsi="宋体"/>
          <w:sz w:val="24"/>
          <w:szCs w:val="24"/>
        </w:rPr>
        <w:t>元</w:t>
      </w:r>
    </w:p>
    <w:p w14:paraId="235F6831">
      <w:pPr>
        <w:spacing w:line="560" w:lineRule="exact"/>
        <w:rPr>
          <w:rFonts w:ascii="宋体" w:hAnsi="宋体"/>
          <w:sz w:val="24"/>
          <w:szCs w:val="24"/>
        </w:rPr>
      </w:pPr>
      <w:r>
        <w:rPr>
          <w:rFonts w:hint="eastAsia" w:ascii="宋体" w:hAnsi="宋体"/>
          <w:sz w:val="24"/>
          <w:szCs w:val="24"/>
        </w:rPr>
        <w:t>报价方式：网络报价</w:t>
      </w:r>
    </w:p>
    <w:p w14:paraId="1E2CD47A">
      <w:pPr>
        <w:spacing w:line="560" w:lineRule="exact"/>
        <w:rPr>
          <w:rFonts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5</w:t>
      </w:r>
      <w:r>
        <w:rPr>
          <w:rFonts w:hint="eastAsia" w:ascii="宋体" w:hAnsi="宋体"/>
          <w:sz w:val="24"/>
          <w:szCs w:val="24"/>
        </w:rPr>
        <w:t>000元</w:t>
      </w:r>
    </w:p>
    <w:bookmarkEnd w:id="4"/>
    <w:p w14:paraId="38E01A65">
      <w:pPr>
        <w:spacing w:line="560" w:lineRule="exact"/>
        <w:rPr>
          <w:rFonts w:ascii="宋体" w:hAnsi="宋体"/>
          <w:sz w:val="24"/>
          <w:szCs w:val="24"/>
        </w:rPr>
      </w:pPr>
      <w:r>
        <w:rPr>
          <w:rFonts w:hint="eastAsia" w:ascii="宋体" w:hAnsi="宋体"/>
          <w:sz w:val="24"/>
          <w:szCs w:val="24"/>
        </w:rPr>
        <w:t>情况说明：</w:t>
      </w:r>
    </w:p>
    <w:p w14:paraId="086178E0">
      <w:pPr>
        <w:spacing w:line="560" w:lineRule="exact"/>
        <w:ind w:firstLine="480" w:firstLineChars="200"/>
        <w:rPr>
          <w:rFonts w:ascii="宋体" w:hAnsi="宋体" w:eastAsia="宋体"/>
          <w:bCs/>
          <w:sz w:val="24"/>
          <w:szCs w:val="24"/>
        </w:rPr>
      </w:pPr>
      <w:r>
        <w:rPr>
          <w:rFonts w:hint="eastAsia" w:ascii="宋体" w:hAnsi="宋体"/>
          <w:sz w:val="24"/>
          <w:szCs w:val="24"/>
        </w:rPr>
        <w:t>1、中石油煤层气有限责任公司</w:t>
      </w:r>
      <w:r>
        <w:rPr>
          <w:rFonts w:hint="eastAsia" w:ascii="宋体" w:hAnsi="宋体"/>
          <w:sz w:val="24"/>
          <w:szCs w:val="24"/>
          <w:lang w:val="en-US" w:eastAsia="zh-CN"/>
        </w:rPr>
        <w:t>临汾</w:t>
      </w:r>
      <w:r>
        <w:rPr>
          <w:rFonts w:hint="eastAsia" w:ascii="宋体" w:hAnsi="宋体"/>
          <w:sz w:val="24"/>
          <w:szCs w:val="24"/>
        </w:rPr>
        <w:t>分公司报废资产</w:t>
      </w:r>
      <w:r>
        <w:rPr>
          <w:rFonts w:hint="eastAsia" w:ascii="宋体" w:hAnsi="宋体" w:eastAsia="宋体"/>
          <w:bCs/>
          <w:sz w:val="24"/>
          <w:szCs w:val="24"/>
        </w:rPr>
        <w:t>。</w:t>
      </w:r>
    </w:p>
    <w:p w14:paraId="1E66D73C">
      <w:pPr>
        <w:spacing w:line="560" w:lineRule="exact"/>
        <w:ind w:firstLine="480" w:firstLineChars="200"/>
        <w:rPr>
          <w:rFonts w:ascii="宋体" w:hAnsi="宋体" w:eastAsia="宋体"/>
          <w:bCs/>
          <w:sz w:val="24"/>
          <w:szCs w:val="24"/>
        </w:rPr>
      </w:pPr>
      <w:r>
        <w:rPr>
          <w:rFonts w:hint="eastAsia" w:ascii="宋体" w:hAnsi="宋体" w:eastAsia="宋体"/>
          <w:bCs/>
          <w:sz w:val="24"/>
          <w:szCs w:val="24"/>
        </w:rPr>
        <w:t>2、转让方不保证标的资产的完整性及品质，均以现场实物现状为准，转让方不负责技术质量保证。</w:t>
      </w:r>
    </w:p>
    <w:p w14:paraId="6A5BD290">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3"/>
    </w:p>
    <w:p w14:paraId="5FA9E03D">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14:paraId="130C5CA7">
      <w:pPr>
        <w:spacing w:line="560" w:lineRule="exact"/>
        <w:ind w:firstLine="4080" w:firstLineChars="1700"/>
        <w:rPr>
          <w:sz w:val="24"/>
          <w:szCs w:val="24"/>
        </w:rPr>
      </w:pPr>
    </w:p>
    <w:p w14:paraId="5C4B3A00">
      <w:pPr>
        <w:spacing w:line="560" w:lineRule="exact"/>
        <w:ind w:firstLine="4080" w:firstLineChars="1700"/>
        <w:rPr>
          <w:sz w:val="24"/>
          <w:szCs w:val="24"/>
        </w:rPr>
      </w:pPr>
    </w:p>
    <w:p w14:paraId="4CFCE8D7">
      <w:pPr>
        <w:spacing w:line="560" w:lineRule="exact"/>
        <w:ind w:firstLine="3120" w:firstLineChars="1300"/>
        <w:rPr>
          <w:sz w:val="24"/>
          <w:szCs w:val="24"/>
        </w:rPr>
      </w:pPr>
      <w:r>
        <w:rPr>
          <w:rFonts w:hint="eastAsia"/>
          <w:sz w:val="24"/>
          <w:szCs w:val="24"/>
        </w:rPr>
        <w:t>意向竞买人（签章已确认）：</w:t>
      </w:r>
      <w:r>
        <w:rPr>
          <w:sz w:val="24"/>
          <w:szCs w:val="24"/>
        </w:rPr>
        <w:t> </w:t>
      </w:r>
    </w:p>
    <w:p w14:paraId="1D7D6DF4">
      <w:pPr>
        <w:spacing w:line="560" w:lineRule="exact"/>
        <w:rPr>
          <w:rFonts w:ascii="宋体" w:hAnsi="宋体" w:eastAsia="宋体"/>
          <w:bCs/>
          <w:sz w:val="24"/>
          <w:szCs w:val="24"/>
        </w:rPr>
      </w:pPr>
      <w:r>
        <w:rPr>
          <w:rFonts w:hint="eastAsia" w:ascii="宋体" w:hAnsi="宋体" w:eastAsia="宋体"/>
          <w:bCs/>
          <w:sz w:val="24"/>
          <w:szCs w:val="24"/>
        </w:rPr>
        <w:t xml:space="preserve">                                           </w:t>
      </w:r>
    </w:p>
    <w:p w14:paraId="6FEFE80E">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8</w:t>
      </w:r>
      <w:r>
        <w:rPr>
          <w:rFonts w:hint="eastAsia" w:ascii="宋体" w:hAnsi="宋体" w:eastAsia="宋体"/>
          <w:bCs/>
          <w:sz w:val="24"/>
          <w:szCs w:val="24"/>
        </w:rPr>
        <w:t>月</w:t>
      </w:r>
      <w:r>
        <w:rPr>
          <w:rFonts w:hint="eastAsia" w:ascii="宋体" w:hAnsi="宋体" w:eastAsia="宋体"/>
          <w:bCs/>
          <w:sz w:val="24"/>
          <w:szCs w:val="24"/>
          <w:lang w:val="en-US" w:eastAsia="zh-CN"/>
        </w:rPr>
        <w:t>7</w:t>
      </w:r>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F70F9">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0E57"/>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1F31E0"/>
    <w:rsid w:val="00203723"/>
    <w:rsid w:val="0021724E"/>
    <w:rsid w:val="002245AF"/>
    <w:rsid w:val="00254F4C"/>
    <w:rsid w:val="00284578"/>
    <w:rsid w:val="00287692"/>
    <w:rsid w:val="002B6F54"/>
    <w:rsid w:val="002C635D"/>
    <w:rsid w:val="002E7BD2"/>
    <w:rsid w:val="0030225F"/>
    <w:rsid w:val="00312D03"/>
    <w:rsid w:val="00363B63"/>
    <w:rsid w:val="0038097B"/>
    <w:rsid w:val="003A7786"/>
    <w:rsid w:val="003C0DF9"/>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570AC"/>
    <w:rsid w:val="0076122B"/>
    <w:rsid w:val="00773017"/>
    <w:rsid w:val="007A177A"/>
    <w:rsid w:val="007A32F8"/>
    <w:rsid w:val="007D7576"/>
    <w:rsid w:val="007E2690"/>
    <w:rsid w:val="007F1783"/>
    <w:rsid w:val="008035D7"/>
    <w:rsid w:val="0081578B"/>
    <w:rsid w:val="00835AFE"/>
    <w:rsid w:val="008607F5"/>
    <w:rsid w:val="00862077"/>
    <w:rsid w:val="008641E7"/>
    <w:rsid w:val="008700C1"/>
    <w:rsid w:val="00870F57"/>
    <w:rsid w:val="0088172D"/>
    <w:rsid w:val="00887301"/>
    <w:rsid w:val="00891581"/>
    <w:rsid w:val="008A1CCB"/>
    <w:rsid w:val="008D2F23"/>
    <w:rsid w:val="008D7D1F"/>
    <w:rsid w:val="008E0AED"/>
    <w:rsid w:val="008E1CFD"/>
    <w:rsid w:val="008E6449"/>
    <w:rsid w:val="009047E1"/>
    <w:rsid w:val="009300DC"/>
    <w:rsid w:val="00980303"/>
    <w:rsid w:val="00984E4A"/>
    <w:rsid w:val="00985CD4"/>
    <w:rsid w:val="00991765"/>
    <w:rsid w:val="00992F51"/>
    <w:rsid w:val="009A45C7"/>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4BB5"/>
    <w:rsid w:val="00B84DA7"/>
    <w:rsid w:val="00B8593F"/>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DC1D31"/>
    <w:rsid w:val="00E15497"/>
    <w:rsid w:val="00E1568F"/>
    <w:rsid w:val="00E6520E"/>
    <w:rsid w:val="00E77D59"/>
    <w:rsid w:val="00EA7612"/>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4146CFE"/>
    <w:rsid w:val="0473160E"/>
    <w:rsid w:val="066F35AE"/>
    <w:rsid w:val="06890B12"/>
    <w:rsid w:val="0B615B96"/>
    <w:rsid w:val="0CAC24A0"/>
    <w:rsid w:val="0EAD49C1"/>
    <w:rsid w:val="128160C8"/>
    <w:rsid w:val="166959E1"/>
    <w:rsid w:val="1C9F541B"/>
    <w:rsid w:val="274169CB"/>
    <w:rsid w:val="2C3256AE"/>
    <w:rsid w:val="31533511"/>
    <w:rsid w:val="35627F21"/>
    <w:rsid w:val="36382D3C"/>
    <w:rsid w:val="389E7FAC"/>
    <w:rsid w:val="38C02DBC"/>
    <w:rsid w:val="43F30CE9"/>
    <w:rsid w:val="460E4436"/>
    <w:rsid w:val="46EF1F8A"/>
    <w:rsid w:val="4B664CAB"/>
    <w:rsid w:val="4C107DAA"/>
    <w:rsid w:val="4DD76405"/>
    <w:rsid w:val="50F616B4"/>
    <w:rsid w:val="52CE7FBE"/>
    <w:rsid w:val="54757EE7"/>
    <w:rsid w:val="55DD4575"/>
    <w:rsid w:val="56314258"/>
    <w:rsid w:val="5A8F1E77"/>
    <w:rsid w:val="5E5C2B54"/>
    <w:rsid w:val="651359B7"/>
    <w:rsid w:val="659E715E"/>
    <w:rsid w:val="69847A87"/>
    <w:rsid w:val="6D9C0B43"/>
    <w:rsid w:val="71370930"/>
    <w:rsid w:val="71D90AFF"/>
    <w:rsid w:val="735820AB"/>
    <w:rsid w:val="74D53D04"/>
    <w:rsid w:val="758D154C"/>
    <w:rsid w:val="770044FF"/>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8"/>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4"/>
    <w:qFormat/>
    <w:uiPriority w:val="99"/>
    <w:pPr>
      <w:widowControl/>
      <w:spacing w:after="120"/>
      <w:jc w:val="left"/>
    </w:pPr>
    <w:rPr>
      <w:kern w:val="0"/>
      <w:sz w:val="24"/>
      <w:szCs w:val="24"/>
      <w:lang w:eastAsia="en-US"/>
    </w:rPr>
  </w:style>
  <w:style w:type="paragraph" w:styleId="5">
    <w:name w:val="Body Text Indent"/>
    <w:basedOn w:val="1"/>
    <w:link w:val="29"/>
    <w:unhideWhenUsed/>
    <w:qFormat/>
    <w:uiPriority w:val="99"/>
    <w:pPr>
      <w:spacing w:after="120"/>
      <w:ind w:left="420" w:leftChars="200"/>
    </w:pPr>
  </w:style>
  <w:style w:type="paragraph" w:styleId="6">
    <w:name w:val="Plain Text"/>
    <w:basedOn w:val="1"/>
    <w:link w:val="32"/>
    <w:qFormat/>
    <w:uiPriority w:val="0"/>
    <w:rPr>
      <w:rFonts w:ascii="宋体" w:hAnsi="Courier New" w:eastAsia="宋体" w:cs="Times New Roman"/>
      <w:kern w:val="0"/>
      <w:sz w:val="20"/>
      <w:szCs w:val="21"/>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30"/>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6"/>
    <w:qFormat/>
    <w:uiPriority w:val="99"/>
    <w:pPr>
      <w:widowControl/>
      <w:spacing w:after="120" w:line="480" w:lineRule="auto"/>
      <w:jc w:val="left"/>
    </w:pPr>
    <w:rPr>
      <w:kern w:val="0"/>
      <w:sz w:val="24"/>
      <w:szCs w:val="24"/>
      <w:lang w:eastAsia="en-US"/>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semiHidden/>
    <w:unhideWhenUsed/>
    <w:qFormat/>
    <w:uiPriority w:val="99"/>
    <w:rPr>
      <w:color w:val="333333"/>
      <w:u w:val="none"/>
    </w:rPr>
  </w:style>
  <w:style w:type="character" w:styleId="18">
    <w:name w:val="line number"/>
    <w:basedOn w:val="16"/>
    <w:unhideWhenUsed/>
    <w:qFormat/>
    <w:uiPriority w:val="99"/>
  </w:style>
  <w:style w:type="character" w:styleId="19">
    <w:name w:val="Hyperlink"/>
    <w:basedOn w:val="16"/>
    <w:qFormat/>
    <w:uiPriority w:val="99"/>
    <w:rPr>
      <w:color w:val="333333"/>
      <w:u w:val="none"/>
    </w:r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paragraph" w:customStyle="1" w:styleId="22">
    <w:name w:val="列出段落1"/>
    <w:basedOn w:val="1"/>
    <w:qFormat/>
    <w:uiPriority w:val="34"/>
    <w:pPr>
      <w:ind w:firstLine="420" w:firstLineChars="200"/>
    </w:pPr>
  </w:style>
  <w:style w:type="paragraph" w:customStyle="1" w:styleId="23">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正文文本 字符"/>
    <w:link w:val="4"/>
    <w:qFormat/>
    <w:uiPriority w:val="99"/>
    <w:rPr>
      <w:kern w:val="0"/>
      <w:sz w:val="24"/>
      <w:szCs w:val="24"/>
      <w:lang w:eastAsia="en-US"/>
    </w:rPr>
  </w:style>
  <w:style w:type="character" w:customStyle="1" w:styleId="25">
    <w:name w:val="正文文本 Char1"/>
    <w:basedOn w:val="16"/>
    <w:semiHidden/>
    <w:qFormat/>
    <w:uiPriority w:val="99"/>
  </w:style>
  <w:style w:type="character" w:customStyle="1" w:styleId="26">
    <w:name w:val="正文文本 2 字符"/>
    <w:link w:val="13"/>
    <w:qFormat/>
    <w:uiPriority w:val="99"/>
    <w:rPr>
      <w:kern w:val="0"/>
      <w:sz w:val="24"/>
      <w:szCs w:val="24"/>
      <w:lang w:eastAsia="en-US"/>
    </w:rPr>
  </w:style>
  <w:style w:type="character" w:customStyle="1" w:styleId="27">
    <w:name w:val="正文文本 2 Char1"/>
    <w:basedOn w:val="16"/>
    <w:semiHidden/>
    <w:qFormat/>
    <w:uiPriority w:val="99"/>
  </w:style>
  <w:style w:type="character" w:customStyle="1" w:styleId="28">
    <w:name w:val="标题 2 字符"/>
    <w:basedOn w:val="16"/>
    <w:link w:val="3"/>
    <w:qFormat/>
    <w:uiPriority w:val="99"/>
    <w:rPr>
      <w:rFonts w:ascii="Cambria" w:hAnsi="Cambria" w:eastAsia="宋体" w:cs="Times New Roman"/>
      <w:b/>
      <w:bCs/>
      <w:i/>
      <w:iCs/>
      <w:kern w:val="0"/>
      <w:sz w:val="28"/>
      <w:szCs w:val="28"/>
    </w:rPr>
  </w:style>
  <w:style w:type="character" w:customStyle="1" w:styleId="29">
    <w:name w:val="正文文本缩进 字符"/>
    <w:basedOn w:val="16"/>
    <w:link w:val="5"/>
    <w:semiHidden/>
    <w:qFormat/>
    <w:uiPriority w:val="99"/>
  </w:style>
  <w:style w:type="character" w:customStyle="1" w:styleId="30">
    <w:name w:val="批注框文本 字符"/>
    <w:basedOn w:val="16"/>
    <w:link w:val="8"/>
    <w:semiHidden/>
    <w:qFormat/>
    <w:uiPriority w:val="99"/>
    <w:rPr>
      <w:sz w:val="18"/>
      <w:szCs w:val="18"/>
    </w:rPr>
  </w:style>
  <w:style w:type="paragraph" w:styleId="31">
    <w:name w:val="List Paragraph"/>
    <w:basedOn w:val="1"/>
    <w:unhideWhenUsed/>
    <w:qFormat/>
    <w:uiPriority w:val="99"/>
    <w:pPr>
      <w:ind w:firstLine="420" w:firstLineChars="200"/>
    </w:pPr>
  </w:style>
  <w:style w:type="character" w:customStyle="1" w:styleId="32">
    <w:name w:val="纯文本 字符"/>
    <w:basedOn w:val="16"/>
    <w:link w:val="6"/>
    <w:qFormat/>
    <w:uiPriority w:val="0"/>
    <w:rPr>
      <w:rFonts w:ascii="宋体" w:hAnsi="Courier New" w:eastAsia="宋体" w:cs="Times New Roman"/>
      <w:szCs w:val="21"/>
    </w:rPr>
  </w:style>
  <w:style w:type="character" w:customStyle="1" w:styleId="33">
    <w:name w:val="layui-layer-tabnow"/>
    <w:basedOn w:val="16"/>
    <w:qFormat/>
    <w:uiPriority w:val="0"/>
    <w:rPr>
      <w:bdr w:val="single" w:color="CCCCCC" w:sz="6" w:space="0"/>
      <w:shd w:val="clear" w:color="auto" w:fill="FFFFFF"/>
    </w:rPr>
  </w:style>
  <w:style w:type="character" w:customStyle="1" w:styleId="34">
    <w:name w:val="first-child"/>
    <w:basedOn w:val="16"/>
    <w:qFormat/>
    <w:uiPriority w:val="0"/>
  </w:style>
  <w:style w:type="character" w:customStyle="1" w:styleId="35">
    <w:name w:val="layui-this"/>
    <w:basedOn w:val="16"/>
    <w:qFormat/>
    <w:uiPriority w:val="0"/>
    <w:rPr>
      <w:bdr w:val="single" w:color="EEEEEE" w:sz="6" w:space="0"/>
      <w:shd w:val="clear" w:color="auto" w:fill="FFFFFF"/>
    </w:rPr>
  </w:style>
  <w:style w:type="paragraph" w:customStyle="1" w:styleId="36">
    <w:name w:val="1"/>
    <w:basedOn w:val="1"/>
    <w:next w:val="7"/>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3097</Words>
  <Characters>3246</Characters>
  <Lines>24</Lines>
  <Paragraphs>6</Paragraphs>
  <TotalTime>4</TotalTime>
  <ScaleCrop>false</ScaleCrop>
  <LinksUpToDate>false</LinksUpToDate>
  <CharactersWithSpaces>3359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2024-07-16T01:32:03Z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F01EA790F41F425388FA72BC6EB013F7_12</vt:lpwstr>
  </property>
</Properties>
</file>