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9F141">
      <w:pPr>
        <w:pStyle w:val="5"/>
        <w:keepNext w:val="0"/>
        <w:keepLines w:val="0"/>
        <w:pageBreakBefore w:val="0"/>
        <w:kinsoku/>
        <w:wordWrap/>
        <w:overflowPunct/>
        <w:topLinePunct w:val="0"/>
        <w:autoSpaceDE/>
        <w:autoSpaceDN/>
        <w:bidi w:val="0"/>
        <w:adjustRightInd w:val="0"/>
        <w:snapToGrid w:val="0"/>
        <w:spacing w:before="156" w:beforeLines="50" w:line="360" w:lineRule="auto"/>
        <w:textAlignment w:val="auto"/>
        <w:outlineLvl w:val="1"/>
        <w:rPr>
          <w:rFonts w:ascii="宋体" w:hAnsi="宋体"/>
          <w:sz w:val="28"/>
          <w:szCs w:val="28"/>
          <w:lang w:eastAsia="zh-CN"/>
        </w:rPr>
      </w:pPr>
    </w:p>
    <w:p w14:paraId="21A485AB">
      <w:pPr>
        <w:pStyle w:val="5"/>
        <w:keepNext w:val="0"/>
        <w:keepLines w:val="0"/>
        <w:pageBreakBefore w:val="0"/>
        <w:kinsoku/>
        <w:wordWrap/>
        <w:overflowPunct/>
        <w:topLinePunct w:val="0"/>
        <w:autoSpaceDE/>
        <w:autoSpaceDN/>
        <w:bidi w:val="0"/>
        <w:adjustRightInd w:val="0"/>
        <w:snapToGrid w:val="0"/>
        <w:spacing w:before="156" w:beforeLines="50" w:line="360" w:lineRule="auto"/>
        <w:textAlignment w:val="auto"/>
        <w:outlineLvl w:val="1"/>
        <w:rPr>
          <w:rFonts w:ascii="宋体" w:hAnsi="宋体"/>
          <w:sz w:val="28"/>
          <w:szCs w:val="28"/>
          <w:lang w:eastAsia="zh-CN"/>
        </w:rPr>
      </w:pPr>
    </w:p>
    <w:p w14:paraId="6ACB2553">
      <w:pPr>
        <w:pStyle w:val="5"/>
        <w:keepNext w:val="0"/>
        <w:keepLines w:val="0"/>
        <w:pageBreakBefore w:val="0"/>
        <w:kinsoku/>
        <w:wordWrap/>
        <w:overflowPunct/>
        <w:topLinePunct w:val="0"/>
        <w:autoSpaceDE/>
        <w:autoSpaceDN/>
        <w:bidi w:val="0"/>
        <w:adjustRightInd w:val="0"/>
        <w:snapToGrid w:val="0"/>
        <w:spacing w:before="156" w:beforeLines="50" w:line="360" w:lineRule="auto"/>
        <w:textAlignment w:val="auto"/>
        <w:outlineLvl w:val="1"/>
        <w:rPr>
          <w:rFonts w:ascii="宋体" w:hAnsi="宋体"/>
          <w:sz w:val="28"/>
          <w:szCs w:val="28"/>
          <w:lang w:eastAsia="zh-CN"/>
        </w:rPr>
      </w:pPr>
    </w:p>
    <w:p w14:paraId="6B0CC19A">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rPr>
          <w:rFonts w:eastAsia="黑体"/>
          <w:sz w:val="72"/>
          <w:lang w:eastAsia="zh-CN"/>
        </w:rPr>
      </w:pPr>
      <w:r>
        <w:rPr>
          <w:rFonts w:hint="eastAsia" w:eastAsia="黑体"/>
          <w:sz w:val="72"/>
          <w:lang w:eastAsia="zh-CN"/>
        </w:rPr>
        <w:t>竞买文件</w:t>
      </w:r>
    </w:p>
    <w:p w14:paraId="7D17139E">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firstLine="1440" w:firstLineChars="450"/>
        <w:jc w:val="center"/>
        <w:textAlignment w:val="auto"/>
        <w:rPr>
          <w:rFonts w:ascii="黑体" w:eastAsia="黑体"/>
          <w:b/>
          <w:bCs/>
          <w:sz w:val="32"/>
          <w:szCs w:val="32"/>
          <w:lang w:eastAsia="zh-CN"/>
        </w:rPr>
      </w:pPr>
    </w:p>
    <w:p w14:paraId="4F3276B2">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firstLine="1440" w:firstLineChars="450"/>
        <w:textAlignment w:val="auto"/>
        <w:rPr>
          <w:rFonts w:eastAsia="黑体"/>
          <w:sz w:val="32"/>
          <w:lang w:eastAsia="zh-CN"/>
        </w:rPr>
      </w:pPr>
    </w:p>
    <w:p w14:paraId="5AC5A482">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firstLine="1440" w:firstLineChars="450"/>
        <w:textAlignment w:val="auto"/>
        <w:rPr>
          <w:rFonts w:eastAsia="黑体"/>
          <w:sz w:val="32"/>
          <w:lang w:eastAsia="zh-CN"/>
        </w:rPr>
      </w:pPr>
    </w:p>
    <w:p w14:paraId="358CECF5">
      <w:pPr>
        <w:keepNext w:val="0"/>
        <w:keepLines w:val="0"/>
        <w:pageBreakBefore w:val="0"/>
        <w:tabs>
          <w:tab w:val="left" w:pos="960"/>
        </w:tabs>
        <w:kinsoku/>
        <w:wordWrap/>
        <w:overflowPunct/>
        <w:topLinePunct w:val="0"/>
        <w:autoSpaceDE/>
        <w:autoSpaceDN/>
        <w:bidi w:val="0"/>
        <w:adjustRightInd w:val="0"/>
        <w:snapToGrid w:val="0"/>
        <w:spacing w:before="156" w:beforeLines="50" w:after="156" w:afterLines="50" w:line="360" w:lineRule="auto"/>
        <w:ind w:left="1800" w:hangingChars="500"/>
        <w:jc w:val="center"/>
        <w:textAlignment w:val="auto"/>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方正仿宋简体" w:hAnsi="宋体" w:eastAsia="方正仿宋简体"/>
          <w:bCs/>
          <w:sz w:val="32"/>
          <w:szCs w:val="32"/>
          <w:u w:val="single"/>
          <w:lang w:eastAsia="zh-TW"/>
        </w:rPr>
        <w:t>中国石油天然气股份有限公司新疆油田油气储运分公司报废资产项目</w:t>
      </w:r>
    </w:p>
    <w:p w14:paraId="4B276547">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left="1800" w:hanging="1800" w:hangingChars="500"/>
        <w:textAlignment w:val="auto"/>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08C33091">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firstLine="4320" w:firstLineChars="1200"/>
        <w:textAlignment w:val="auto"/>
        <w:rPr>
          <w:rFonts w:ascii="黑体" w:hAnsi="黑体" w:eastAsia="黑体"/>
          <w:sz w:val="36"/>
          <w:u w:val="single"/>
          <w:lang w:eastAsia="zh-CN"/>
        </w:rPr>
      </w:pPr>
    </w:p>
    <w:p w14:paraId="5761A157">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textAlignment w:val="auto"/>
        <w:rPr>
          <w:rFonts w:ascii="黑体" w:hAnsi="黑体" w:eastAsia="黑体"/>
          <w:sz w:val="36"/>
          <w:lang w:eastAsia="zh-CN"/>
        </w:rPr>
      </w:pPr>
      <w:r>
        <w:rPr>
          <w:rFonts w:ascii="黑体" w:hAnsi="黑体" w:eastAsia="黑体"/>
          <w:sz w:val="36"/>
          <w:lang w:eastAsia="zh-CN"/>
        </w:rPr>
        <w:t>法 定 代 表 人</w:t>
      </w:r>
    </w:p>
    <w:p w14:paraId="5267FBFF">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textAlignment w:val="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1609481A">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rPr>
          <w:rFonts w:eastAsia="黑体"/>
          <w:sz w:val="32"/>
          <w:lang w:eastAsia="zh-CN"/>
        </w:rPr>
      </w:pPr>
    </w:p>
    <w:p w14:paraId="02851991">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rPr>
          <w:rFonts w:eastAsia="黑体"/>
          <w:sz w:val="32"/>
          <w:lang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8</w:t>
      </w:r>
      <w:r>
        <w:rPr>
          <w:rFonts w:eastAsia="黑体"/>
          <w:sz w:val="32"/>
          <w:lang w:eastAsia="zh-CN"/>
        </w:rPr>
        <w:t>月</w:t>
      </w:r>
      <w:r>
        <w:rPr>
          <w:rFonts w:hint="eastAsia" w:eastAsia="黑体"/>
          <w:sz w:val="32"/>
          <w:lang w:val="en-US" w:eastAsia="zh-CN"/>
        </w:rPr>
        <w:t>30</w:t>
      </w:r>
      <w:r>
        <w:rPr>
          <w:rFonts w:eastAsia="黑体"/>
          <w:sz w:val="32"/>
          <w:lang w:eastAsia="zh-CN"/>
        </w:rPr>
        <w:t>日</w:t>
      </w:r>
    </w:p>
    <w:p w14:paraId="1E738A73">
      <w:pPr>
        <w:pStyle w:val="5"/>
        <w:keepNext w:val="0"/>
        <w:keepLines w:val="0"/>
        <w:pageBreakBefore w:val="0"/>
        <w:kinsoku/>
        <w:wordWrap/>
        <w:overflowPunct/>
        <w:topLinePunct w:val="0"/>
        <w:autoSpaceDE/>
        <w:autoSpaceDN/>
        <w:bidi w:val="0"/>
        <w:adjustRightInd w:val="0"/>
        <w:snapToGrid w:val="0"/>
        <w:spacing w:before="156" w:beforeLines="50" w:after="156" w:afterLines="50" w:line="360" w:lineRule="auto"/>
        <w:ind w:firstLine="1440" w:firstLineChars="450"/>
        <w:jc w:val="center"/>
        <w:textAlignment w:val="auto"/>
        <w:rPr>
          <w:rFonts w:eastAsia="黑体"/>
          <w:sz w:val="32"/>
          <w:lang w:eastAsia="zh-CN"/>
        </w:rPr>
      </w:pPr>
    </w:p>
    <w:p w14:paraId="1B077FD2">
      <w:pPr>
        <w:pStyle w:val="5"/>
        <w:keepNext w:val="0"/>
        <w:keepLines w:val="0"/>
        <w:pageBreakBefore w:val="0"/>
        <w:kinsoku/>
        <w:wordWrap/>
        <w:overflowPunct/>
        <w:topLinePunct w:val="0"/>
        <w:autoSpaceDE/>
        <w:autoSpaceDN/>
        <w:bidi w:val="0"/>
        <w:adjustRightInd w:val="0"/>
        <w:snapToGrid w:val="0"/>
        <w:spacing w:before="156" w:beforeLines="50" w:line="360" w:lineRule="auto"/>
        <w:jc w:val="both"/>
        <w:textAlignment w:val="auto"/>
        <w:outlineLvl w:val="1"/>
        <w:rPr>
          <w:rFonts w:hint="eastAsia" w:ascii="宋体" w:hAnsi="宋体"/>
          <w:b/>
          <w:sz w:val="28"/>
          <w:szCs w:val="28"/>
          <w:lang w:eastAsia="zh-CN"/>
        </w:rPr>
      </w:pPr>
    </w:p>
    <w:p w14:paraId="4CE68982">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outlineLvl w:val="1"/>
        <w:rPr>
          <w:rFonts w:ascii="宋体" w:hAnsi="宋体"/>
          <w:b/>
          <w:sz w:val="28"/>
          <w:szCs w:val="28"/>
          <w:lang w:eastAsia="zh-CN"/>
        </w:rPr>
      </w:pPr>
      <w:r>
        <w:rPr>
          <w:rFonts w:hint="eastAsia" w:ascii="宋体" w:hAnsi="宋体"/>
          <w:b/>
          <w:sz w:val="28"/>
          <w:szCs w:val="28"/>
          <w:lang w:eastAsia="zh-CN"/>
        </w:rPr>
        <w:t>承诺函</w:t>
      </w:r>
    </w:p>
    <w:p w14:paraId="3BBB85BA">
      <w:pPr>
        <w:pStyle w:val="5"/>
        <w:keepNext w:val="0"/>
        <w:keepLines w:val="0"/>
        <w:pageBreakBefore w:val="0"/>
        <w:kinsoku/>
        <w:wordWrap/>
        <w:overflowPunct/>
        <w:topLinePunct w:val="0"/>
        <w:autoSpaceDE/>
        <w:autoSpaceDN/>
        <w:bidi w:val="0"/>
        <w:adjustRightInd w:val="0"/>
        <w:snapToGrid w:val="0"/>
        <w:spacing w:before="156" w:beforeLines="50" w:line="360" w:lineRule="auto"/>
        <w:textAlignment w:val="auto"/>
        <w:rPr>
          <w:rFonts w:ascii="宋体" w:hAnsi="宋体"/>
          <w:b/>
          <w:lang w:eastAsia="zh-CN"/>
        </w:rPr>
      </w:pPr>
      <w:r>
        <w:rPr>
          <w:rFonts w:hint="eastAsia" w:ascii="宋体" w:hAnsi="宋体"/>
          <w:b/>
          <w:lang w:eastAsia="zh-CN"/>
        </w:rPr>
        <w:t>致：</w:t>
      </w:r>
      <w:r>
        <w:rPr>
          <w:rFonts w:hint="eastAsia" w:ascii="宋体" w:hAnsi="宋体" w:eastAsiaTheme="minorEastAsia"/>
          <w:b/>
          <w:bCs w:val="0"/>
          <w:sz w:val="24"/>
          <w:szCs w:val="24"/>
          <w:u w:val="none"/>
          <w:lang w:eastAsia="zh-CN"/>
        </w:rPr>
        <w:t>中国石油天然气股份有限公司新疆油田油气储运分公司</w:t>
      </w:r>
      <w:r>
        <w:rPr>
          <w:rFonts w:hint="eastAsia" w:ascii="宋体" w:hAnsi="宋体"/>
          <w:b/>
          <w:lang w:eastAsia="zh-CN"/>
        </w:rPr>
        <w:t>：</w:t>
      </w:r>
    </w:p>
    <w:p w14:paraId="7A453785">
      <w:pPr>
        <w:pStyle w:val="14"/>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
          <w:lang w:eastAsia="zh-CN"/>
        </w:rPr>
      </w:pPr>
      <w:r>
        <w:rPr>
          <w:rFonts w:hint="eastAsia" w:ascii="宋体" w:hAnsi="宋体"/>
          <w:b/>
          <w:lang w:eastAsia="zh-CN"/>
        </w:rPr>
        <w:t>拍拍在线（北京）拍卖有限公司：</w:t>
      </w:r>
    </w:p>
    <w:p w14:paraId="4F4280EA">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现申请参加名称为“</w:t>
      </w:r>
      <w:r>
        <w:rPr>
          <w:rFonts w:hint="eastAsia" w:ascii="宋体" w:hAnsi="宋体"/>
          <w:sz w:val="24"/>
          <w:szCs w:val="24"/>
          <w:lang w:eastAsia="zh-TW"/>
        </w:rPr>
        <w:t>中国石油天然气股份有限公司</w:t>
      </w:r>
      <w:r>
        <w:rPr>
          <w:rFonts w:hint="eastAsia" w:ascii="宋体" w:hAnsi="宋体"/>
          <w:color w:val="auto"/>
          <w:sz w:val="24"/>
          <w:szCs w:val="24"/>
          <w:lang w:eastAsia="zh-CN"/>
        </w:rPr>
        <w:t>新疆油田油气储运</w:t>
      </w:r>
      <w:r>
        <w:rPr>
          <w:rFonts w:hint="eastAsia" w:ascii="宋体" w:hAnsi="宋体"/>
          <w:sz w:val="24"/>
          <w:szCs w:val="24"/>
          <w:lang w:eastAsia="zh-TW"/>
        </w:rPr>
        <w:t>分公司报废资产项目</w:t>
      </w:r>
      <w:r>
        <w:rPr>
          <w:rFonts w:hint="eastAsia" w:ascii="宋体" w:hAnsi="宋体"/>
          <w:sz w:val="24"/>
          <w:szCs w:val="24"/>
        </w:rPr>
        <w:t>”（“本项目”）通过拍拍在线（北京）拍卖有限公司举行的拍卖活动，声明同意如下：</w:t>
      </w:r>
    </w:p>
    <w:p w14:paraId="489464B6">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w:t>
      </w:r>
      <w:r>
        <w:rPr>
          <w:rFonts w:hint="eastAsia" w:ascii="宋体" w:hAnsi="宋体"/>
          <w:sz w:val="24"/>
          <w:szCs w:val="24"/>
          <w:highlight w:val="none"/>
        </w:rPr>
        <w:t>我方在此不可撤销地放弃对相关程序性办法及相应安排提出任何异议的权力，并放弃因此而向转让方与拍卖方提出任何索赔的权力。</w:t>
      </w:r>
    </w:p>
    <w:p w14:paraId="4D3D3182">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24C1F273">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6AAB6687">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73ECE2C1">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我方在此承诺，一旦我方成为本项目的最终买受人，我们将在5个工作日内，一次性向拍拍在线（北京）拍卖有限公司支付本项目成交价格的百分之伍（5%）的服务费。</w:t>
      </w:r>
    </w:p>
    <w:p w14:paraId="72BC691B">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79DD7A33">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013F5DE9">
      <w:pPr>
        <w:keepNext w:val="0"/>
        <w:keepLines w:val="0"/>
        <w:pageBreakBefore w:val="0"/>
        <w:widowControl/>
        <w:numPr>
          <w:ilvl w:val="0"/>
          <w:numId w:val="1"/>
        </w:numPr>
        <w:kinsoku/>
        <w:wordWrap/>
        <w:overflowPunct/>
        <w:topLinePunct w:val="0"/>
        <w:autoSpaceDE/>
        <w:autoSpaceDN/>
        <w:bidi w:val="0"/>
        <w:spacing w:line="360" w:lineRule="auto"/>
        <w:ind w:left="0" w:firstLine="480"/>
        <w:jc w:val="left"/>
        <w:textAlignment w:val="auto"/>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14:paraId="28E4540C">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p>
    <w:p w14:paraId="5ACD0357">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u w:val="single"/>
        </w:rPr>
      </w:pPr>
      <w:r>
        <w:rPr>
          <w:sz w:val="24"/>
          <w:szCs w:val="24"/>
        </w:rPr>
        <w:t>意向</w:t>
      </w:r>
      <w:r>
        <w:rPr>
          <w:rFonts w:hint="eastAsia"/>
          <w:sz w:val="24"/>
          <w:szCs w:val="24"/>
        </w:rPr>
        <w:t>竞买人（盖章）</w:t>
      </w:r>
      <w:r>
        <w:rPr>
          <w:sz w:val="24"/>
          <w:szCs w:val="24"/>
        </w:rPr>
        <w:t>：</w:t>
      </w:r>
    </w:p>
    <w:p w14:paraId="7B7AC18A">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p>
    <w:p w14:paraId="41B50965">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r>
        <w:rPr>
          <w:sz w:val="24"/>
          <w:szCs w:val="24"/>
        </w:rPr>
        <w:t>法定代表人</w:t>
      </w:r>
      <w:r>
        <w:rPr>
          <w:rFonts w:hint="eastAsia"/>
          <w:sz w:val="24"/>
          <w:szCs w:val="24"/>
        </w:rPr>
        <w:t>：</w:t>
      </w:r>
    </w:p>
    <w:p w14:paraId="0D63B0DA">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34031BB6">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u w:val="single"/>
        </w:rPr>
      </w:pPr>
      <w:r>
        <w:rPr>
          <w:sz w:val="24"/>
          <w:szCs w:val="24"/>
        </w:rPr>
        <w:t>电话：</w:t>
      </w:r>
    </w:p>
    <w:p w14:paraId="7DA8BD49">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Theme="minorEastAsia"/>
          <w:sz w:val="24"/>
          <w:szCs w:val="24"/>
          <w:lang w:val="en-US" w:eastAsia="zh-CN"/>
        </w:rPr>
      </w:pPr>
    </w:p>
    <w:p w14:paraId="2605DD30">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p>
    <w:p w14:paraId="13C0031C">
      <w:pPr>
        <w:keepNext w:val="0"/>
        <w:keepLines w:val="0"/>
        <w:pageBreakBefore w:val="0"/>
        <w:kinsoku/>
        <w:wordWrap/>
        <w:overflowPunct/>
        <w:topLinePunct w:val="0"/>
        <w:autoSpaceDE/>
        <w:autoSpaceDN/>
        <w:bidi w:val="0"/>
        <w:adjustRightInd w:val="0"/>
        <w:snapToGrid w:val="0"/>
        <w:spacing w:line="360" w:lineRule="auto"/>
        <w:textAlignment w:val="auto"/>
        <w:rPr>
          <w:sz w:val="24"/>
          <w:szCs w:val="24"/>
        </w:rPr>
      </w:pPr>
    </w:p>
    <w:p w14:paraId="11C6174C">
      <w:pPr>
        <w:keepNext w:val="0"/>
        <w:keepLines w:val="0"/>
        <w:pageBreakBefore w:val="0"/>
        <w:kinsoku/>
        <w:wordWrap/>
        <w:overflowPunct/>
        <w:topLinePunct w:val="0"/>
        <w:autoSpaceDE/>
        <w:autoSpaceDN/>
        <w:bidi w:val="0"/>
        <w:adjustRightInd w:val="0"/>
        <w:snapToGrid w:val="0"/>
        <w:spacing w:line="360" w:lineRule="auto"/>
        <w:textAlignment w:val="auto"/>
        <w:rPr>
          <w:rFonts w:hint="eastAsia"/>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30</w:t>
      </w:r>
      <w:r>
        <w:rPr>
          <w:rFonts w:hint="eastAsia"/>
          <w:sz w:val="24"/>
          <w:szCs w:val="24"/>
        </w:rPr>
        <w:t>日</w:t>
      </w:r>
      <w:bookmarkStart w:id="1" w:name="_Toc487410356"/>
    </w:p>
    <w:p w14:paraId="4E3DD7E6">
      <w:pPr>
        <w:pStyle w:val="2"/>
        <w:rPr>
          <w:rFonts w:hint="eastAsia"/>
          <w:sz w:val="24"/>
          <w:szCs w:val="24"/>
        </w:rPr>
      </w:pPr>
    </w:p>
    <w:p w14:paraId="45B67EB9">
      <w:pPr>
        <w:pStyle w:val="2"/>
        <w:rPr>
          <w:rFonts w:hint="eastAsia"/>
          <w:sz w:val="24"/>
          <w:szCs w:val="24"/>
        </w:rPr>
      </w:pPr>
    </w:p>
    <w:p w14:paraId="21A9C5E3">
      <w:pPr>
        <w:pStyle w:val="2"/>
        <w:rPr>
          <w:rFonts w:hint="eastAsia"/>
          <w:sz w:val="24"/>
          <w:szCs w:val="24"/>
        </w:rPr>
      </w:pPr>
    </w:p>
    <w:p w14:paraId="4BA38E14">
      <w:pPr>
        <w:pStyle w:val="2"/>
        <w:rPr>
          <w:rFonts w:hint="eastAsia"/>
          <w:sz w:val="24"/>
          <w:szCs w:val="24"/>
        </w:rPr>
      </w:pPr>
    </w:p>
    <w:p w14:paraId="63B14E9A">
      <w:pPr>
        <w:pStyle w:val="2"/>
        <w:rPr>
          <w:rFonts w:hint="eastAsia"/>
          <w:sz w:val="24"/>
          <w:szCs w:val="24"/>
        </w:rPr>
      </w:pPr>
    </w:p>
    <w:p w14:paraId="635B40BD">
      <w:pPr>
        <w:pStyle w:val="2"/>
        <w:rPr>
          <w:rFonts w:hint="eastAsia"/>
          <w:sz w:val="24"/>
          <w:szCs w:val="24"/>
        </w:rPr>
      </w:pPr>
    </w:p>
    <w:p w14:paraId="4E034736">
      <w:pPr>
        <w:pStyle w:val="2"/>
        <w:rPr>
          <w:rFonts w:hint="eastAsia"/>
          <w:sz w:val="24"/>
          <w:szCs w:val="24"/>
        </w:rPr>
      </w:pPr>
    </w:p>
    <w:p w14:paraId="75C4EAB2">
      <w:pPr>
        <w:pStyle w:val="2"/>
        <w:rPr>
          <w:rFonts w:hint="eastAsia"/>
          <w:sz w:val="24"/>
          <w:szCs w:val="24"/>
        </w:rPr>
      </w:pPr>
    </w:p>
    <w:p w14:paraId="606D58B4">
      <w:pPr>
        <w:pStyle w:val="2"/>
        <w:rPr>
          <w:rFonts w:hint="eastAsia"/>
          <w:sz w:val="24"/>
          <w:szCs w:val="24"/>
        </w:rPr>
      </w:pPr>
    </w:p>
    <w:p w14:paraId="52467F1F">
      <w:pPr>
        <w:pStyle w:val="2"/>
        <w:rPr>
          <w:rFonts w:hint="eastAsia"/>
          <w:sz w:val="24"/>
          <w:szCs w:val="24"/>
        </w:rPr>
      </w:pPr>
    </w:p>
    <w:p w14:paraId="3324567C">
      <w:pPr>
        <w:pStyle w:val="2"/>
        <w:rPr>
          <w:rFonts w:hint="eastAsia"/>
          <w:sz w:val="24"/>
          <w:szCs w:val="24"/>
        </w:rPr>
      </w:pPr>
    </w:p>
    <w:p w14:paraId="3C8525F6">
      <w:pPr>
        <w:pStyle w:val="2"/>
        <w:rPr>
          <w:rFonts w:hint="eastAsia"/>
          <w:sz w:val="24"/>
          <w:szCs w:val="24"/>
        </w:rPr>
      </w:pPr>
    </w:p>
    <w:p w14:paraId="7E8D39AF">
      <w:pPr>
        <w:pStyle w:val="2"/>
        <w:rPr>
          <w:rFonts w:hint="eastAsia"/>
          <w:sz w:val="24"/>
          <w:szCs w:val="24"/>
        </w:rPr>
      </w:pPr>
    </w:p>
    <w:p w14:paraId="636C3545">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outlineLvl w:val="1"/>
        <w:rPr>
          <w:rFonts w:hint="eastAsia" w:ascii="宋体" w:hAnsi="宋体"/>
          <w:b/>
          <w:sz w:val="28"/>
          <w:szCs w:val="28"/>
          <w:lang w:eastAsia="zh-CN"/>
        </w:rPr>
      </w:pPr>
    </w:p>
    <w:p w14:paraId="6FC4D2E4">
      <w:pPr>
        <w:pStyle w:val="5"/>
        <w:keepNext w:val="0"/>
        <w:keepLines w:val="0"/>
        <w:pageBreakBefore w:val="0"/>
        <w:kinsoku/>
        <w:wordWrap/>
        <w:overflowPunct/>
        <w:topLinePunct w:val="0"/>
        <w:autoSpaceDE/>
        <w:autoSpaceDN/>
        <w:bidi w:val="0"/>
        <w:adjustRightInd w:val="0"/>
        <w:snapToGrid w:val="0"/>
        <w:spacing w:before="156" w:beforeLines="50" w:line="360" w:lineRule="auto"/>
        <w:jc w:val="center"/>
        <w:textAlignment w:val="auto"/>
        <w:outlineLvl w:val="1"/>
        <w:rPr>
          <w:rFonts w:ascii="宋体" w:hAnsi="宋体"/>
          <w:b/>
          <w:sz w:val="28"/>
          <w:szCs w:val="28"/>
          <w:lang w:eastAsia="zh-CN"/>
        </w:rPr>
      </w:pPr>
      <w:r>
        <w:rPr>
          <w:rFonts w:hint="eastAsia" w:ascii="宋体" w:hAnsi="宋体"/>
          <w:b/>
          <w:sz w:val="28"/>
          <w:szCs w:val="28"/>
          <w:lang w:eastAsia="zh-CN"/>
        </w:rPr>
        <w:t>公 告</w:t>
      </w:r>
    </w:p>
    <w:p w14:paraId="04C85E5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拍拍在线（北京）拍卖有限公司将于202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时（延时的除外）在</w:t>
      </w:r>
      <w:r>
        <w:rPr>
          <w:rFonts w:hint="eastAsia" w:ascii="宋体" w:hAnsi="宋体"/>
          <w:sz w:val="24"/>
          <w:szCs w:val="24"/>
        </w:rPr>
        <w:t>拍拍在线（北京）拍卖有限公司网络</w:t>
      </w:r>
      <w:r>
        <w:rPr>
          <w:rFonts w:hint="eastAsia" w:ascii="宋体" w:hAnsi="宋体"/>
          <w:sz w:val="24"/>
          <w:szCs w:val="24"/>
        </w:rPr>
        <w:t>竞价中心(网址：http://www.ppzx</w:t>
      </w:r>
      <w:r>
        <w:rPr>
          <w:rFonts w:hint="eastAsia" w:ascii="宋体" w:hAnsi="宋体"/>
          <w:sz w:val="24"/>
          <w:szCs w:val="24"/>
        </w:rPr>
        <w:t>china.c</w:t>
      </w:r>
      <w:r>
        <w:rPr>
          <w:rFonts w:hint="eastAsia" w:ascii="宋体" w:hAnsi="宋体"/>
          <w:sz w:val="24"/>
          <w:szCs w:val="24"/>
        </w:rPr>
        <w:t>n)进行公开</w:t>
      </w:r>
      <w:r>
        <w:rPr>
          <w:rFonts w:hint="eastAsia" w:ascii="宋体" w:hAnsi="宋体"/>
          <w:sz w:val="24"/>
          <w:szCs w:val="24"/>
        </w:rPr>
        <w:t>竞价活动，现公告如下：</w:t>
      </w:r>
    </w:p>
    <w:p w14:paraId="42E9CD3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一、拍卖标的物：</w:t>
      </w:r>
      <w:r>
        <w:rPr>
          <w:rFonts w:hint="eastAsia" w:ascii="宋体" w:hAnsi="宋体"/>
          <w:sz w:val="24"/>
          <w:szCs w:val="24"/>
          <w:lang w:eastAsia="zh-CN"/>
        </w:rPr>
        <w:t>中国石油天然气股份有限公司新疆油田油气储运分公司</w:t>
      </w:r>
      <w:r>
        <w:rPr>
          <w:rFonts w:hint="eastAsia" w:ascii="宋体" w:hAnsi="宋体"/>
          <w:sz w:val="24"/>
          <w:szCs w:val="24"/>
          <w:lang w:eastAsia="zh-TW"/>
        </w:rPr>
        <w:t>报废资产项目</w:t>
      </w:r>
      <w:r>
        <w:rPr>
          <w:rFonts w:hint="eastAsia" w:ascii="宋体" w:hAnsi="宋体"/>
          <w:sz w:val="24"/>
          <w:szCs w:val="24"/>
        </w:rPr>
        <w:t>。</w:t>
      </w:r>
      <w:r>
        <w:rPr>
          <w:rFonts w:hint="eastAsia" w:ascii="宋体" w:hAnsi="宋体"/>
          <w:sz w:val="24"/>
          <w:szCs w:val="24"/>
          <w:lang w:val="en-US" w:eastAsia="zh-CN"/>
        </w:rPr>
        <w:t>资产清单仅供参考</w:t>
      </w:r>
      <w:r>
        <w:rPr>
          <w:rFonts w:hint="eastAsia" w:ascii="宋体" w:hAnsi="宋体"/>
          <w:sz w:val="24"/>
          <w:szCs w:val="24"/>
          <w:lang w:eastAsia="zh-CN"/>
        </w:rPr>
        <w:t>，</w:t>
      </w:r>
      <w:r>
        <w:rPr>
          <w:rFonts w:hint="eastAsia" w:ascii="宋体" w:hAnsi="宋体"/>
          <w:sz w:val="24"/>
          <w:szCs w:val="24"/>
          <w:lang w:val="en-US" w:eastAsia="zh-CN"/>
        </w:rPr>
        <w:t>具体</w:t>
      </w:r>
      <w:r>
        <w:rPr>
          <w:rFonts w:hint="eastAsia" w:ascii="宋体" w:hAnsi="宋体"/>
          <w:sz w:val="24"/>
          <w:szCs w:val="24"/>
          <w:lang w:eastAsia="zh-CN"/>
        </w:rPr>
        <w:t>以现场实物为准。</w:t>
      </w:r>
    </w:p>
    <w:p w14:paraId="3EFE2B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二、</w:t>
      </w:r>
      <w:r>
        <w:rPr>
          <w:rFonts w:hint="eastAsia" w:ascii="宋体" w:hAnsi="宋体"/>
          <w:sz w:val="24"/>
          <w:szCs w:val="24"/>
          <w:lang w:eastAsia="zh-CN"/>
        </w:rPr>
        <w:t>现场踏勘及注意事项：标的拍卖前展标示期间将</w:t>
      </w:r>
      <w:r>
        <w:rPr>
          <w:rFonts w:hint="eastAsia" w:ascii="宋体" w:hAnsi="宋体"/>
          <w:sz w:val="24"/>
          <w:szCs w:val="24"/>
          <w:lang w:val="en-US" w:eastAsia="zh-CN"/>
        </w:rPr>
        <w:t>组织现场踏勘，具体</w:t>
      </w:r>
      <w:r>
        <w:rPr>
          <w:rFonts w:hint="eastAsia" w:ascii="宋体" w:hAnsi="宋体"/>
          <w:sz w:val="24"/>
          <w:szCs w:val="24"/>
        </w:rPr>
        <w:t>详见踏勘管理要求</w:t>
      </w:r>
      <w:r>
        <w:rPr>
          <w:rFonts w:hint="eastAsia" w:ascii="宋体" w:hAnsi="宋体"/>
          <w:sz w:val="24"/>
          <w:szCs w:val="24"/>
          <w:lang w:eastAsia="zh-CN"/>
        </w:rPr>
        <w:t>。</w:t>
      </w:r>
    </w:p>
    <w:p w14:paraId="60D5AE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三</w:t>
      </w:r>
      <w:r>
        <w:rPr>
          <w:rFonts w:hint="eastAsia" w:ascii="宋体" w:hAnsi="宋体"/>
          <w:sz w:val="24"/>
          <w:szCs w:val="24"/>
        </w:rPr>
        <w:t>、</w:t>
      </w:r>
      <w:r>
        <w:rPr>
          <w:rFonts w:hint="eastAsia" w:ascii="宋体" w:hAnsi="宋体"/>
          <w:sz w:val="24"/>
          <w:szCs w:val="24"/>
          <w:lang w:eastAsia="zh-CN"/>
        </w:rPr>
        <w:t>报名及资格审查</w:t>
      </w:r>
    </w:p>
    <w:p w14:paraId="05D089D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1、申请人须符合以下条件：</w:t>
      </w:r>
    </w:p>
    <w:p w14:paraId="35911D0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须为中华人民共和国境内依法注册成立并有效存续的企业法人，未被工商行政管理机关在全国企业信用信息公示系统中列入严重违法失信企业名单，未被最高人民法院在“信用中国”网站列入失信被执行人名单，未被中石油列入黑名单。营业执照经营范围包含生产性废旧金属回收、再生资源回收</w:t>
      </w:r>
      <w:r>
        <w:rPr>
          <w:rFonts w:hint="eastAsia" w:ascii="宋体" w:hAnsi="宋体"/>
          <w:sz w:val="24"/>
          <w:szCs w:val="24"/>
        </w:rPr>
        <w:t>（资质以全国企业信用信息公示系统</w:t>
      </w:r>
      <w:r>
        <w:rPr>
          <w:rFonts w:hint="eastAsia" w:ascii="宋体" w:hAnsi="宋体"/>
          <w:sz w:val="24"/>
          <w:szCs w:val="24"/>
          <w:lang w:val="en-US" w:eastAsia="zh-CN"/>
        </w:rPr>
        <w:t>平台</w:t>
      </w:r>
      <w:r>
        <w:rPr>
          <w:rFonts w:hint="eastAsia" w:ascii="宋体" w:hAnsi="宋体"/>
          <w:sz w:val="24"/>
          <w:szCs w:val="24"/>
        </w:rPr>
        <w:t>查询资质证书信息为准</w:t>
      </w:r>
      <w:r>
        <w:rPr>
          <w:rFonts w:hint="eastAsia" w:ascii="宋体" w:hAnsi="宋体"/>
          <w:sz w:val="24"/>
          <w:szCs w:val="24"/>
          <w:lang w:eastAsia="zh-CN"/>
        </w:rPr>
        <w:t>，</w:t>
      </w:r>
      <w:r>
        <w:rPr>
          <w:rFonts w:hint="eastAsia" w:ascii="宋体" w:hAnsi="宋体"/>
          <w:sz w:val="24"/>
          <w:szCs w:val="24"/>
          <w:lang w:val="en-US" w:eastAsia="zh-CN"/>
        </w:rPr>
        <w:t>平台地址为</w:t>
      </w:r>
      <w:r>
        <w:rPr>
          <w:rFonts w:hint="eastAsia" w:ascii="宋体" w:hAnsi="宋体"/>
          <w:sz w:val="24"/>
          <w:szCs w:val="24"/>
        </w:rPr>
        <w:t>https://shiming.gsxt.gov.cn/index.html）</w:t>
      </w:r>
      <w:r>
        <w:rPr>
          <w:rFonts w:hint="eastAsia" w:ascii="宋体" w:hAnsi="宋体"/>
          <w:sz w:val="24"/>
          <w:szCs w:val="24"/>
          <w:lang w:eastAsia="zh-CN"/>
        </w:rPr>
        <w:t>。</w:t>
      </w:r>
    </w:p>
    <w:p w14:paraId="0A6867A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2、报名所需材料：</w:t>
      </w:r>
    </w:p>
    <w:p w14:paraId="43FFE96A">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sz w:val="24"/>
          <w:szCs w:val="24"/>
          <w:lang w:val="en-US" w:eastAsia="zh-CN"/>
        </w:rPr>
      </w:pPr>
      <w:r>
        <w:rPr>
          <w:rFonts w:hint="eastAsia" w:ascii="宋体" w:hAnsi="宋体"/>
          <w:sz w:val="24"/>
          <w:szCs w:val="24"/>
          <w:lang w:eastAsia="zh-CN"/>
        </w:rPr>
        <w:t>（1）营业执照（三证合一）副本扫描件；（2）法定代表人身份证明书；（3）法人身份证正反面复印件；如需委托的，请提供法人授权委托书、代理人身份证正反面复印件；</w:t>
      </w:r>
    </w:p>
    <w:p w14:paraId="38986E6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成交单位签订合同时必须具备的条件：现场作业涉及特种作业和许可作业需按照新疆油田规定提供相关证件的扫描件或复印件，如新疆油田承包商HSE培训合格证、特种作业操作证。也可委托具有资质的单位进行作业，并提供委托单位的相关证件的扫描件或复印件。）</w:t>
      </w:r>
    </w:p>
    <w:p w14:paraId="69EF9001">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lang w:eastAsia="zh-CN"/>
        </w:rPr>
        <w:t>四</w:t>
      </w:r>
      <w:r>
        <w:rPr>
          <w:rFonts w:ascii="宋体" w:hAnsi="宋体"/>
          <w:sz w:val="24"/>
          <w:szCs w:val="24"/>
        </w:rPr>
        <w:t>、拍卖方式</w:t>
      </w:r>
    </w:p>
    <w:p w14:paraId="6DD1E0B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1、</w:t>
      </w:r>
      <w:r>
        <w:rPr>
          <w:rFonts w:hint="eastAsia" w:ascii="宋体" w:hAnsi="宋体"/>
          <w:sz w:val="24"/>
          <w:szCs w:val="24"/>
          <w:lang w:eastAsia="zh-CN"/>
        </w:rPr>
        <w:t>本项目</w:t>
      </w: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6431589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rFonts w:hint="eastAsia" w:ascii="宋体" w:hAnsi="宋体"/>
          <w:color w:val="auto"/>
          <w:sz w:val="24"/>
          <w:szCs w:val="24"/>
        </w:rPr>
        <w:t>1</w:t>
      </w:r>
      <w:r>
        <w:rPr>
          <w:rFonts w:hint="eastAsia" w:ascii="宋体" w:hAnsi="宋体"/>
          <w:color w:val="auto"/>
          <w:sz w:val="24"/>
          <w:szCs w:val="24"/>
          <w:lang w:val="en-US" w:eastAsia="zh-CN"/>
        </w:rPr>
        <w:t>5</w:t>
      </w:r>
      <w:r>
        <w:rPr>
          <w:rFonts w:hint="eastAsia" w:ascii="宋体" w:hAnsi="宋体"/>
          <w:color w:val="auto"/>
          <w:sz w:val="24"/>
          <w:szCs w:val="24"/>
        </w:rPr>
        <w:t>时20分止转为延时报价，延时报价</w:t>
      </w:r>
      <w:r>
        <w:rPr>
          <w:rFonts w:ascii="宋体" w:hAnsi="宋体"/>
          <w:color w:val="auto"/>
          <w:sz w:val="24"/>
          <w:szCs w:val="24"/>
        </w:rPr>
        <w:t>3</w:t>
      </w:r>
      <w:r>
        <w:rPr>
          <w:rFonts w:hint="eastAsia" w:ascii="宋体" w:hAnsi="宋体"/>
          <w:color w:val="auto"/>
          <w:sz w:val="24"/>
          <w:szCs w:val="24"/>
        </w:rPr>
        <w:t>分钟如果有竞买人出价，自动延迟</w:t>
      </w:r>
      <w:r>
        <w:rPr>
          <w:rFonts w:ascii="宋体" w:hAnsi="宋体"/>
          <w:color w:val="auto"/>
          <w:sz w:val="24"/>
          <w:szCs w:val="24"/>
        </w:rPr>
        <w:t>3</w:t>
      </w:r>
      <w:r>
        <w:rPr>
          <w:rFonts w:hint="eastAsia" w:ascii="宋体" w:hAnsi="宋体"/>
          <w:color w:val="auto"/>
          <w:sz w:val="24"/>
          <w:szCs w:val="24"/>
        </w:rPr>
        <w:t>分钟。</w:t>
      </w:r>
    </w:p>
    <w:p w14:paraId="69F94263">
      <w:pPr>
        <w:keepNext w:val="0"/>
        <w:keepLines w:val="0"/>
        <w:pageBreakBefore w:val="0"/>
        <w:numPr>
          <w:ilvl w:val="-1"/>
          <w:numId w:val="0"/>
        </w:numPr>
        <w:kinsoku/>
        <w:wordWrap/>
        <w:overflowPunct/>
        <w:topLinePunct w:val="0"/>
        <w:autoSpaceDE/>
        <w:autoSpaceDN/>
        <w:bidi w:val="0"/>
        <w:spacing w:line="360" w:lineRule="auto"/>
        <w:ind w:left="0" w:leftChars="0" w:firstLine="480" w:firstLineChars="200"/>
        <w:textAlignment w:val="auto"/>
        <w:rPr>
          <w:rFonts w:hint="default" w:ascii="宋体" w:hAnsi="宋体" w:eastAsiaTheme="minorEastAsia"/>
          <w:sz w:val="24"/>
          <w:szCs w:val="24"/>
          <w:lang w:val="en-US" w:eastAsia="zh-CN"/>
        </w:rPr>
      </w:pPr>
      <w:r>
        <w:rPr>
          <w:rFonts w:hint="eastAsia" w:ascii="宋体" w:hAnsi="宋体"/>
          <w:sz w:val="24"/>
          <w:szCs w:val="24"/>
          <w:lang w:val="en-US" w:eastAsia="zh-CN"/>
        </w:rPr>
        <w:t>五、合同签署</w:t>
      </w:r>
    </w:p>
    <w:p w14:paraId="5626842A">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color w:val="auto"/>
          <w:sz w:val="24"/>
          <w:szCs w:val="24"/>
          <w:lang w:val="en-US" w:eastAsia="zh-CN"/>
        </w:rPr>
      </w:pPr>
      <w:r>
        <w:rPr>
          <w:rFonts w:ascii="宋体" w:hAnsi="宋体"/>
          <w:sz w:val="24"/>
          <w:szCs w:val="24"/>
        </w:rPr>
        <w:t>竞买人成功竞得标的物后，</w:t>
      </w:r>
      <w:r>
        <w:rPr>
          <w:rFonts w:hint="eastAsia" w:ascii="宋体" w:hAnsi="宋体"/>
          <w:sz w:val="24"/>
          <w:szCs w:val="24"/>
          <w:lang w:val="en-US" w:eastAsia="zh-CN"/>
        </w:rPr>
        <w:t>应在</w:t>
      </w:r>
      <w:r>
        <w:rPr>
          <w:rFonts w:hint="eastAsia" w:ascii="宋体" w:hAnsi="宋体"/>
          <w:color w:val="auto"/>
          <w:sz w:val="24"/>
          <w:szCs w:val="24"/>
          <w:lang w:val="en-US" w:eastAsia="zh-CN"/>
        </w:rPr>
        <w:t>3个工作日向拍卖人指定账户足额交纳交易佣金（成交价的5%），并</w:t>
      </w:r>
      <w:r>
        <w:rPr>
          <w:rFonts w:hint="eastAsia" w:ascii="宋体" w:hAnsi="宋体"/>
          <w:color w:val="auto"/>
          <w:sz w:val="24"/>
          <w:szCs w:val="24"/>
        </w:rPr>
        <w:t>签订</w:t>
      </w:r>
      <w:r>
        <w:rPr>
          <w:rFonts w:ascii="宋体" w:hAnsi="宋体"/>
          <w:color w:val="auto"/>
          <w:sz w:val="24"/>
          <w:szCs w:val="24"/>
        </w:rPr>
        <w:t>《</w:t>
      </w:r>
      <w:r>
        <w:rPr>
          <w:rFonts w:hint="eastAsia" w:ascii="宋体" w:hAnsi="宋体"/>
          <w:color w:val="auto"/>
          <w:sz w:val="24"/>
          <w:szCs w:val="24"/>
        </w:rPr>
        <w:t>拍卖成交确认书</w:t>
      </w:r>
      <w:r>
        <w:rPr>
          <w:rFonts w:ascii="宋体" w:hAnsi="宋体"/>
          <w:color w:val="auto"/>
          <w:sz w:val="24"/>
          <w:szCs w:val="24"/>
        </w:rPr>
        <w:t>》，确认书中载明实际买受人姓名、竞买</w:t>
      </w:r>
      <w:r>
        <w:rPr>
          <w:rFonts w:hint="eastAsia" w:ascii="宋体" w:hAnsi="宋体"/>
          <w:color w:val="auto"/>
          <w:sz w:val="24"/>
          <w:szCs w:val="24"/>
        </w:rPr>
        <w:t>编</w:t>
      </w:r>
      <w:r>
        <w:rPr>
          <w:rFonts w:ascii="宋体" w:hAnsi="宋体"/>
          <w:color w:val="auto"/>
          <w:sz w:val="24"/>
          <w:szCs w:val="24"/>
        </w:rPr>
        <w:t>号</w:t>
      </w:r>
      <w:r>
        <w:rPr>
          <w:rFonts w:hint="eastAsia" w:ascii="宋体" w:hAnsi="宋体"/>
          <w:color w:val="auto"/>
          <w:sz w:val="24"/>
          <w:szCs w:val="24"/>
          <w:lang w:eastAsia="zh-CN"/>
        </w:rPr>
        <w:t>等</w:t>
      </w:r>
      <w:r>
        <w:rPr>
          <w:rFonts w:ascii="宋体" w:hAnsi="宋体"/>
          <w:color w:val="auto"/>
          <w:sz w:val="24"/>
          <w:szCs w:val="24"/>
        </w:rPr>
        <w:t>信息。</w:t>
      </w:r>
      <w:r>
        <w:rPr>
          <w:rFonts w:hint="eastAsia" w:ascii="宋体" w:hAnsi="宋体"/>
          <w:color w:val="auto"/>
          <w:sz w:val="24"/>
          <w:szCs w:val="24"/>
          <w:lang w:val="en-US" w:eastAsia="zh-CN"/>
        </w:rPr>
        <w:t>同时应在3个工作日内向转让方指定账户交纳合同履约保证金（成交价的5%，四舍五入后取整至万元），作为合同签订、履行的保证，</w:t>
      </w:r>
      <w:r>
        <w:rPr>
          <w:rFonts w:hint="eastAsia" w:ascii="宋体" w:hAnsi="宋体"/>
          <w:color w:val="auto"/>
          <w:sz w:val="24"/>
          <w:szCs w:val="24"/>
        </w:rPr>
        <w:t>该项目交割完结且</w:t>
      </w:r>
      <w:r>
        <w:rPr>
          <w:rFonts w:hint="eastAsia" w:ascii="宋体" w:hAnsi="宋体"/>
          <w:color w:val="auto"/>
          <w:sz w:val="24"/>
          <w:szCs w:val="24"/>
          <w:lang w:val="en-US" w:eastAsia="zh-CN"/>
        </w:rPr>
        <w:t>经转让方验收后</w:t>
      </w:r>
      <w:r>
        <w:rPr>
          <w:rFonts w:hint="eastAsia" w:ascii="宋体" w:hAnsi="宋体"/>
          <w:color w:val="auto"/>
          <w:sz w:val="24"/>
          <w:szCs w:val="24"/>
          <w:lang w:eastAsia="zh-CN"/>
        </w:rPr>
        <w:t>，合同</w:t>
      </w:r>
      <w:r>
        <w:rPr>
          <w:rFonts w:hint="eastAsia" w:ascii="宋体" w:hAnsi="宋体"/>
          <w:color w:val="auto"/>
          <w:sz w:val="24"/>
          <w:szCs w:val="24"/>
          <w:lang w:val="en-US" w:eastAsia="zh-CN"/>
        </w:rPr>
        <w:t>履约保证金无息</w:t>
      </w:r>
      <w:r>
        <w:rPr>
          <w:rFonts w:hint="eastAsia" w:ascii="宋体" w:hAnsi="宋体"/>
          <w:color w:val="auto"/>
          <w:sz w:val="24"/>
          <w:szCs w:val="24"/>
        </w:rPr>
        <w:t>退回</w:t>
      </w:r>
      <w:r>
        <w:rPr>
          <w:rFonts w:hint="eastAsia" w:ascii="宋体" w:hAnsi="宋体"/>
          <w:color w:val="auto"/>
          <w:sz w:val="24"/>
          <w:szCs w:val="24"/>
          <w:lang w:val="en-US" w:eastAsia="zh-CN"/>
        </w:rPr>
        <w:t>买受人</w:t>
      </w:r>
      <w:r>
        <w:rPr>
          <w:rFonts w:hint="eastAsia" w:ascii="宋体" w:hAnsi="宋体"/>
          <w:color w:val="auto"/>
          <w:sz w:val="24"/>
          <w:szCs w:val="24"/>
        </w:rPr>
        <w:t>账户</w:t>
      </w:r>
      <w:r>
        <w:rPr>
          <w:rFonts w:hint="eastAsia" w:ascii="宋体" w:hAnsi="宋体"/>
          <w:color w:val="auto"/>
          <w:sz w:val="24"/>
          <w:szCs w:val="24"/>
          <w:lang w:eastAsia="zh-CN"/>
        </w:rPr>
        <w:t>。</w:t>
      </w:r>
      <w:r>
        <w:rPr>
          <w:rFonts w:hint="eastAsia" w:ascii="宋体" w:hAnsi="宋体"/>
          <w:color w:val="auto"/>
          <w:sz w:val="24"/>
          <w:szCs w:val="24"/>
          <w:lang w:val="en-US" w:eastAsia="zh-CN"/>
        </w:rPr>
        <w:t>买受人自接到转让方签订合同通知起3个工作日内与转让方签署《报废资产处置合同》，合同签订之日起5个工作日内将本标的全部交易价款（含税费）支付转让方指定账户。</w:t>
      </w:r>
    </w:p>
    <w:p w14:paraId="0202831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lang w:eastAsia="zh-CN"/>
        </w:rPr>
        <w:t>六、</w:t>
      </w:r>
      <w:r>
        <w:rPr>
          <w:rFonts w:ascii="宋体" w:hAnsi="宋体"/>
          <w:sz w:val="24"/>
          <w:szCs w:val="24"/>
        </w:rPr>
        <w:t>竞买人悔拍后保证金的处理</w:t>
      </w:r>
      <w:r>
        <w:rPr>
          <w:rFonts w:hint="eastAsia" w:ascii="宋体" w:hAnsi="宋体"/>
          <w:sz w:val="24"/>
          <w:szCs w:val="24"/>
        </w:rPr>
        <w:t>。</w:t>
      </w:r>
    </w:p>
    <w:p w14:paraId="55DB80D7">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color w:val="auto"/>
          <w:sz w:val="24"/>
          <w:szCs w:val="24"/>
        </w:rPr>
        <w:t>拍卖成交后买受人</w:t>
      </w:r>
      <w:r>
        <w:rPr>
          <w:rFonts w:hint="eastAsia" w:ascii="宋体" w:hAnsi="宋体"/>
          <w:color w:val="auto"/>
          <w:sz w:val="24"/>
          <w:szCs w:val="24"/>
          <w:lang w:eastAsia="zh-CN"/>
        </w:rPr>
        <w:t>未按时</w:t>
      </w:r>
      <w:r>
        <w:rPr>
          <w:rFonts w:hint="eastAsia" w:ascii="宋体" w:hAnsi="宋体"/>
          <w:color w:val="auto"/>
          <w:sz w:val="24"/>
          <w:szCs w:val="24"/>
          <w:lang w:val="en-US" w:eastAsia="zh-CN"/>
        </w:rPr>
        <w:t>交</w:t>
      </w:r>
      <w:r>
        <w:rPr>
          <w:rFonts w:hint="eastAsia" w:ascii="宋体" w:hAnsi="宋体"/>
          <w:color w:val="auto"/>
          <w:sz w:val="24"/>
          <w:szCs w:val="24"/>
        </w:rPr>
        <w:t>纳</w:t>
      </w:r>
      <w:r>
        <w:rPr>
          <w:rFonts w:hint="eastAsia" w:ascii="宋体" w:hAnsi="宋体"/>
          <w:color w:val="auto"/>
          <w:sz w:val="24"/>
          <w:szCs w:val="24"/>
          <w:lang w:eastAsia="zh-CN"/>
        </w:rPr>
        <w:t>交易佣金、履约保证金</w:t>
      </w:r>
      <w:r>
        <w:rPr>
          <w:rFonts w:hint="eastAsia" w:ascii="宋体" w:hAnsi="宋体"/>
          <w:color w:val="auto"/>
          <w:sz w:val="24"/>
          <w:szCs w:val="24"/>
        </w:rPr>
        <w:t>的</w:t>
      </w:r>
      <w:r>
        <w:rPr>
          <w:rFonts w:ascii="宋体" w:hAnsi="宋体"/>
          <w:color w:val="auto"/>
          <w:sz w:val="24"/>
          <w:szCs w:val="24"/>
        </w:rPr>
        <w:t>，</w:t>
      </w:r>
      <w:r>
        <w:rPr>
          <w:rFonts w:hint="eastAsia" w:ascii="宋体" w:hAnsi="宋体"/>
          <w:color w:val="auto"/>
          <w:sz w:val="24"/>
          <w:szCs w:val="24"/>
        </w:rPr>
        <w:t>取消成交资格，拍卖人罚没买受人交易保证金。</w:t>
      </w:r>
      <w:r>
        <w:rPr>
          <w:rFonts w:hint="eastAsia" w:ascii="宋体" w:hAnsi="宋体"/>
          <w:sz w:val="24"/>
          <w:szCs w:val="24"/>
        </w:rPr>
        <w:t>标的物重新拍卖</w:t>
      </w:r>
      <w:r>
        <w:rPr>
          <w:rFonts w:hint="eastAsia" w:ascii="宋体" w:hAnsi="宋体"/>
          <w:sz w:val="24"/>
          <w:szCs w:val="24"/>
          <w:lang w:eastAsia="zh-CN"/>
        </w:rPr>
        <w:t>，</w:t>
      </w:r>
      <w:r>
        <w:rPr>
          <w:rFonts w:hint="eastAsia" w:ascii="宋体" w:hAnsi="宋体"/>
          <w:color w:val="000000" w:themeColor="text1"/>
          <w:sz w:val="24"/>
          <w:szCs w:val="24"/>
          <w:lang w:val="en-US" w:eastAsia="zh-CN"/>
          <w14:textFill>
            <w14:solidFill>
              <w14:schemeClr w14:val="tx1"/>
            </w14:solidFill>
          </w14:textFill>
        </w:rPr>
        <w:t>罚没</w:t>
      </w:r>
      <w:r>
        <w:rPr>
          <w:rFonts w:ascii="宋体" w:hAnsi="宋体"/>
          <w:sz w:val="24"/>
          <w:szCs w:val="24"/>
        </w:rPr>
        <w:t>的保证金依次用于支付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14:paraId="789B4435">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悔拍后重新拍卖的，原买受人（包括委托他人竞买）不得参加竞买。</w:t>
      </w:r>
    </w:p>
    <w:p w14:paraId="39162093">
      <w:pPr>
        <w:keepNext w:val="0"/>
        <w:keepLines w:val="0"/>
        <w:pageBreakBefore w:val="0"/>
        <w:numPr>
          <w:ilvl w:val="0"/>
          <w:numId w:val="0"/>
        </w:numPr>
        <w:kinsoku/>
        <w:wordWrap/>
        <w:overflowPunct/>
        <w:topLinePunct w:val="0"/>
        <w:autoSpaceDE/>
        <w:autoSpaceDN/>
        <w:bidi w:val="0"/>
        <w:spacing w:line="360" w:lineRule="auto"/>
        <w:ind w:left="0" w:leftChars="0" w:firstLine="420" w:firstLineChars="175"/>
        <w:textAlignment w:val="auto"/>
        <w:rPr>
          <w:rFonts w:ascii="宋体" w:hAnsi="宋体"/>
          <w:sz w:val="24"/>
          <w:szCs w:val="24"/>
        </w:rPr>
      </w:pPr>
      <w:r>
        <w:rPr>
          <w:rFonts w:hint="eastAsia" w:ascii="宋体" w:hAnsi="宋体"/>
          <w:sz w:val="24"/>
          <w:szCs w:val="24"/>
          <w:lang w:eastAsia="zh-CN"/>
        </w:rPr>
        <w:t>七、</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3FE6AC7B">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lang w:eastAsia="zh-CN"/>
        </w:rPr>
        <w:t>八</w:t>
      </w:r>
      <w:r>
        <w:rPr>
          <w:rFonts w:hint="eastAsia" w:ascii="宋体" w:hAnsi="宋体"/>
          <w:sz w:val="24"/>
          <w:szCs w:val="24"/>
        </w:rPr>
        <w:t>、特别提示。</w:t>
      </w:r>
    </w:p>
    <w:p w14:paraId="24DAF532">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489223D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w:t>
      </w:r>
      <w:r>
        <w:rPr>
          <w:rFonts w:hint="eastAsia" w:ascii="宋体" w:hAnsi="宋体"/>
          <w:sz w:val="24"/>
          <w:szCs w:val="24"/>
          <w:lang w:eastAsia="zh-CN"/>
        </w:rPr>
        <w:t>（生产区以外）</w:t>
      </w:r>
      <w:r>
        <w:rPr>
          <w:rFonts w:hint="eastAsia" w:ascii="宋体" w:hAnsi="宋体"/>
          <w:sz w:val="24"/>
          <w:szCs w:val="24"/>
        </w:rPr>
        <w:t>等所产生的所有费用</w:t>
      </w:r>
      <w:r>
        <w:rPr>
          <w:rFonts w:ascii="宋体" w:hAnsi="宋体"/>
          <w:sz w:val="24"/>
          <w:szCs w:val="24"/>
        </w:rPr>
        <w:t>由买受人自行承担。</w:t>
      </w:r>
    </w:p>
    <w:p w14:paraId="511EE81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履约保证金和</w:t>
      </w:r>
      <w:r>
        <w:rPr>
          <w:rFonts w:hint="eastAsia" w:ascii="宋体" w:hAnsi="宋体"/>
          <w:sz w:val="24"/>
          <w:szCs w:val="24"/>
        </w:rPr>
        <w:t>全部交易价款</w:t>
      </w:r>
      <w:r>
        <w:rPr>
          <w:rFonts w:hint="eastAsia" w:ascii="宋体" w:hAnsi="宋体"/>
          <w:color w:val="auto"/>
          <w:sz w:val="24"/>
          <w:szCs w:val="24"/>
          <w:lang w:eastAsia="zh-CN"/>
        </w:rPr>
        <w:t>（含税金）</w:t>
      </w:r>
      <w:r>
        <w:rPr>
          <w:rFonts w:hint="eastAsia" w:ascii="宋体" w:hAnsi="宋体"/>
          <w:sz w:val="24"/>
          <w:szCs w:val="24"/>
        </w:rPr>
        <w:t>交纳至转让方指定账户后方可退还</w:t>
      </w:r>
      <w:r>
        <w:rPr>
          <w:rFonts w:ascii="宋体" w:hAnsi="宋体"/>
          <w:sz w:val="24"/>
          <w:szCs w:val="24"/>
        </w:rPr>
        <w:t>竞买人锁定的保证金自动释放，锁定期间</w:t>
      </w:r>
      <w:r>
        <w:rPr>
          <w:rFonts w:hint="eastAsia" w:ascii="宋体" w:hAnsi="宋体"/>
          <w:sz w:val="24"/>
          <w:szCs w:val="24"/>
        </w:rPr>
        <w:t>（7-10个工作日）</w:t>
      </w:r>
      <w:r>
        <w:rPr>
          <w:rFonts w:ascii="宋体" w:hAnsi="宋体"/>
          <w:sz w:val="24"/>
          <w:szCs w:val="24"/>
        </w:rPr>
        <w:t>不计利息。</w:t>
      </w:r>
    </w:p>
    <w:p w14:paraId="00AE4985">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327A52E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24E7702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1FC91E57">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咨询电话：4008003698</w:t>
      </w:r>
    </w:p>
    <w:p w14:paraId="6569B53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053B7DE8">
      <w:pPr>
        <w:keepNext w:val="0"/>
        <w:keepLines w:val="0"/>
        <w:pageBreakBefore w:val="0"/>
        <w:kinsoku/>
        <w:wordWrap/>
        <w:overflowPunct/>
        <w:topLinePunct w:val="0"/>
        <w:autoSpaceDE/>
        <w:autoSpaceDN/>
        <w:bidi w:val="0"/>
        <w:spacing w:line="360" w:lineRule="auto"/>
        <w:ind w:firstLine="2640" w:firstLineChars="1100"/>
        <w:textAlignment w:val="auto"/>
        <w:rPr>
          <w:rFonts w:ascii="宋体" w:hAnsi="宋体"/>
          <w:sz w:val="24"/>
          <w:szCs w:val="24"/>
        </w:rPr>
      </w:pPr>
      <w:r>
        <w:rPr>
          <w:rFonts w:hint="eastAsia" w:ascii="宋体" w:hAnsi="宋体"/>
          <w:sz w:val="24"/>
          <w:szCs w:val="24"/>
        </w:rPr>
        <w:t>意向竞买人（签章已确认）：</w:t>
      </w:r>
    </w:p>
    <w:p w14:paraId="006CDF21">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 xml:space="preserve">                             </w:t>
      </w:r>
    </w:p>
    <w:p w14:paraId="7E437653">
      <w:pPr>
        <w:keepNext w:val="0"/>
        <w:keepLines w:val="0"/>
        <w:pageBreakBefore w:val="0"/>
        <w:kinsoku/>
        <w:wordWrap/>
        <w:overflowPunct/>
        <w:topLinePunct w:val="0"/>
        <w:autoSpaceDE/>
        <w:autoSpaceDN/>
        <w:bidi w:val="0"/>
        <w:spacing w:line="360" w:lineRule="auto"/>
        <w:ind w:firstLine="5280" w:firstLineChars="2200"/>
        <w:textAlignment w:val="auto"/>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p>
    <w:p w14:paraId="44424DE7">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2DB24176">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0EA25808">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716EEB07">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18C5D73F">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1887B1C2">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697EE817">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1ED27566">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4E08F95C">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78E5B694">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7E973868">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0300801E">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58B8A570">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628BE8EE">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6FBAD1FD">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5D84A8B1">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2D567222">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13CAE44E">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hint="eastAsia" w:ascii="Tahoma" w:hAnsi="Tahoma" w:cs="Tahoma"/>
          <w:b/>
          <w:color w:val="000000"/>
          <w:sz w:val="32"/>
          <w:szCs w:val="32"/>
        </w:rPr>
      </w:pPr>
    </w:p>
    <w:p w14:paraId="07046CAB">
      <w:pPr>
        <w:pStyle w:val="25"/>
        <w:keepNext w:val="0"/>
        <w:keepLines w:val="0"/>
        <w:pageBreakBefore w:val="0"/>
        <w:kinsoku/>
        <w:wordWrap/>
        <w:overflowPunct/>
        <w:topLinePunct w:val="0"/>
        <w:autoSpaceDE/>
        <w:autoSpaceDN/>
        <w:bidi w:val="0"/>
        <w:spacing w:line="360" w:lineRule="auto"/>
        <w:ind w:firstLine="2880" w:firstLineChars="900"/>
        <w:jc w:val="both"/>
        <w:textAlignment w:val="auto"/>
        <w:rPr>
          <w:rFonts w:ascii="Tahoma" w:hAnsi="Tahoma" w:cs="Tahoma"/>
          <w:b/>
          <w:color w:val="000000"/>
          <w:sz w:val="32"/>
          <w:szCs w:val="32"/>
        </w:rPr>
      </w:pPr>
      <w:r>
        <w:rPr>
          <w:rFonts w:hint="eastAsia" w:ascii="Tahoma" w:hAnsi="Tahoma" w:cs="Tahoma"/>
          <w:b/>
          <w:color w:val="000000"/>
          <w:sz w:val="32"/>
          <w:szCs w:val="32"/>
        </w:rPr>
        <w:t>竞买规则及须知</w:t>
      </w:r>
    </w:p>
    <w:p w14:paraId="593E250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p>
    <w:p w14:paraId="1D61BE9A">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highlight w:val="yellow"/>
        </w:rPr>
      </w:pPr>
      <w:r>
        <w:rPr>
          <w:rFonts w:hint="eastAsia" w:ascii="宋体" w:hAnsi="宋体"/>
          <w:sz w:val="24"/>
          <w:szCs w:val="24"/>
        </w:rPr>
        <w:t>本公司受委托对</w:t>
      </w:r>
      <w:r>
        <w:rPr>
          <w:rFonts w:hint="eastAsia" w:ascii="宋体" w:hAnsi="宋体" w:eastAsiaTheme="minorEastAsia"/>
          <w:bCs w:val="0"/>
          <w:sz w:val="24"/>
          <w:szCs w:val="24"/>
          <w:u w:val="none"/>
          <w:lang w:eastAsia="zh-TW"/>
        </w:rPr>
        <w:t>中国石油天然气股份有限公司新疆油田油气储运分公司</w:t>
      </w:r>
      <w:r>
        <w:rPr>
          <w:rFonts w:hint="eastAsia" w:ascii="宋体" w:hAnsi="宋体"/>
          <w:sz w:val="24"/>
          <w:szCs w:val="24"/>
          <w:lang w:eastAsia="zh-TW"/>
        </w:rPr>
        <w:t>报废资产项目</w:t>
      </w:r>
      <w:r>
        <w:rPr>
          <w:rFonts w:hint="eastAsia" w:ascii="宋体" w:hAnsi="宋体"/>
          <w:sz w:val="24"/>
          <w:szCs w:val="24"/>
        </w:rPr>
        <w:t>在http://www.ppzxchina.cn进行公开拍卖，为切实保障拍卖当事人的权利和义务，根据《中华人民共和国拍卖法》、《中华人民共和国民法典》</w:t>
      </w:r>
      <w:r>
        <w:rPr>
          <w:rFonts w:hint="eastAsia" w:ascii="宋体" w:hAnsi="宋体"/>
          <w:color w:val="000000" w:themeColor="text1"/>
          <w:sz w:val="24"/>
          <w:szCs w:val="24"/>
          <w14:textFill>
            <w14:solidFill>
              <w14:schemeClr w14:val="tx1"/>
            </w14:solidFill>
          </w14:textFill>
        </w:rPr>
        <w:t>《中华人民共和国公司法》、</w:t>
      </w:r>
      <w:r>
        <w:rPr>
          <w:rFonts w:hint="eastAsia" w:ascii="宋体" w:hAnsi="宋体"/>
          <w:sz w:val="24"/>
          <w:szCs w:val="24"/>
        </w:rPr>
        <w:t xml:space="preserve">《中华人民共和国企业国有资产法》、《企业国有资产交易监督管理办法》等法律法规，本着公开、公平、公正、诚实信用的原则，特制定本须知及规则，共同遵守。 </w:t>
      </w:r>
    </w:p>
    <w:p w14:paraId="0EC8324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1、本次竞价活动在公开、平等竞争的条件下进行，一切活动都具备法律效力。</w:t>
      </w:r>
    </w:p>
    <w:p w14:paraId="096B2A37">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2、凡报名参加的竞买者，应事先了解竞价标的，并按要求上传资质材料申请竞买人资格</w:t>
      </w:r>
      <w:r>
        <w:rPr>
          <w:rFonts w:hint="eastAsia" w:ascii="宋体" w:hAnsi="宋体"/>
          <w:sz w:val="24"/>
          <w:szCs w:val="24"/>
          <w:lang w:eastAsia="zh-CN"/>
        </w:rPr>
        <w:t>，</w:t>
      </w:r>
      <w:r>
        <w:rPr>
          <w:rFonts w:hint="eastAsia" w:ascii="宋体" w:hAnsi="宋体"/>
          <w:color w:val="auto"/>
          <w:sz w:val="24"/>
          <w:szCs w:val="24"/>
          <w:lang w:eastAsia="zh-CN"/>
        </w:rPr>
        <w:t>竞买人通过转让方资质审核后，</w:t>
      </w:r>
      <w:r>
        <w:rPr>
          <w:rFonts w:hint="eastAsia" w:ascii="宋体" w:hAnsi="宋体"/>
          <w:sz w:val="24"/>
          <w:szCs w:val="24"/>
        </w:rPr>
        <w:t>应</w:t>
      </w:r>
      <w:r>
        <w:rPr>
          <w:rFonts w:hint="eastAsia" w:ascii="宋体" w:hAnsi="宋体"/>
          <w:sz w:val="24"/>
          <w:szCs w:val="24"/>
          <w:lang w:eastAsia="zh-CN"/>
        </w:rPr>
        <w:t>于</w:t>
      </w: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highlight w:val="none"/>
          <w:lang w:val="en-US" w:eastAsia="zh-CN"/>
        </w:rPr>
        <w:t>8</w:t>
      </w:r>
      <w:r>
        <w:rPr>
          <w:rFonts w:hint="eastAsia" w:ascii="宋体" w:hAnsi="宋体"/>
          <w:sz w:val="24"/>
          <w:szCs w:val="24"/>
          <w:highlight w:val="none"/>
        </w:rPr>
        <w:t>月</w:t>
      </w:r>
      <w:r>
        <w:rPr>
          <w:rFonts w:hint="eastAsia" w:ascii="宋体" w:hAnsi="宋体"/>
          <w:sz w:val="24"/>
          <w:szCs w:val="24"/>
          <w:highlight w:val="none"/>
          <w:lang w:val="en-US" w:eastAsia="zh-CN"/>
        </w:rPr>
        <w:t>30</w:t>
      </w:r>
      <w:r>
        <w:rPr>
          <w:rFonts w:hint="eastAsia" w:ascii="宋体" w:hAnsi="宋体"/>
          <w:sz w:val="24"/>
          <w:szCs w:val="24"/>
        </w:rPr>
        <w:t>日1</w:t>
      </w:r>
      <w:r>
        <w:rPr>
          <w:rFonts w:hint="eastAsia" w:ascii="宋体" w:hAnsi="宋体"/>
          <w:sz w:val="24"/>
          <w:szCs w:val="24"/>
          <w:lang w:val="en-US" w:eastAsia="zh-CN"/>
        </w:rPr>
        <w:t>2</w:t>
      </w:r>
      <w:r>
        <w:rPr>
          <w:rFonts w:hint="eastAsia" w:ascii="宋体" w:hAnsi="宋体"/>
          <w:sz w:val="24"/>
          <w:szCs w:val="24"/>
        </w:rPr>
        <w:t>：00前在http://www.ppzxchina.cn注册账号及交纳竞买保证金（线上支付），取得有效的竞买凭证。</w:t>
      </w:r>
    </w:p>
    <w:p w14:paraId="74D18C2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3、竞价过程中，竞买人要认真严肃地进行竞买并为自己的竞价行为</w:t>
      </w:r>
      <w:r>
        <w:rPr>
          <w:rFonts w:hint="eastAsia" w:ascii="宋体" w:hAnsi="宋体"/>
          <w:color w:val="auto"/>
          <w:sz w:val="24"/>
          <w:szCs w:val="24"/>
          <w:lang w:eastAsia="zh-CN"/>
        </w:rPr>
        <w:t>负</w:t>
      </w:r>
      <w:r>
        <w:rPr>
          <w:rFonts w:hint="eastAsia" w:ascii="宋体" w:hAnsi="宋体"/>
          <w:sz w:val="24"/>
          <w:szCs w:val="24"/>
        </w:rPr>
        <w:t>相应的法律责任。</w:t>
      </w:r>
    </w:p>
    <w:p w14:paraId="28400F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w:t>
      </w:r>
      <w:r>
        <w:rPr>
          <w:rFonts w:hint="eastAsia" w:ascii="宋体" w:hAnsi="宋体"/>
          <w:sz w:val="24"/>
          <w:szCs w:val="24"/>
        </w:rPr>
        <w:t>不低于保留价，方可成交。</w:t>
      </w:r>
    </w:p>
    <w:p w14:paraId="4B0EBE6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本次起拍价为不含税价，买受人应</w:t>
      </w:r>
      <w:r>
        <w:rPr>
          <w:rFonts w:hint="eastAsia" w:ascii="宋体" w:hAnsi="宋体"/>
          <w:sz w:val="24"/>
          <w:szCs w:val="24"/>
        </w:rPr>
        <w:t>在</w:t>
      </w:r>
      <w:r>
        <w:rPr>
          <w:rFonts w:hint="eastAsia" w:ascii="宋体" w:hAnsi="宋体"/>
          <w:sz w:val="24"/>
          <w:szCs w:val="24"/>
          <w:lang w:eastAsia="zh-CN"/>
        </w:rPr>
        <w:t>与转让方合同</w:t>
      </w:r>
      <w:r>
        <w:rPr>
          <w:rFonts w:hint="eastAsia" w:ascii="宋体" w:hAnsi="宋体"/>
          <w:sz w:val="24"/>
          <w:szCs w:val="24"/>
        </w:rPr>
        <w:t>签订后5个工作日内</w:t>
      </w:r>
      <w:r>
        <w:rPr>
          <w:rFonts w:hint="eastAsia" w:ascii="宋体" w:hAnsi="宋体"/>
          <w:sz w:val="24"/>
          <w:szCs w:val="24"/>
          <w:lang w:val="en-US" w:eastAsia="zh-CN"/>
        </w:rPr>
        <w:t>将价款连同相关</w:t>
      </w:r>
      <w:r>
        <w:rPr>
          <w:rFonts w:hint="eastAsia" w:ascii="宋体" w:hAnsi="宋体"/>
          <w:sz w:val="24"/>
          <w:szCs w:val="24"/>
        </w:rPr>
        <w:t>税</w:t>
      </w:r>
      <w:r>
        <w:rPr>
          <w:rFonts w:hint="eastAsia" w:ascii="宋体" w:hAnsi="宋体"/>
          <w:sz w:val="24"/>
          <w:szCs w:val="24"/>
          <w:lang w:val="en-US" w:eastAsia="zh-CN"/>
        </w:rPr>
        <w:t>费支付</w:t>
      </w:r>
      <w:r>
        <w:rPr>
          <w:rFonts w:hint="eastAsia" w:ascii="宋体" w:hAnsi="宋体"/>
          <w:sz w:val="24"/>
          <w:szCs w:val="24"/>
        </w:rPr>
        <w:t>至转让方指定账户，转让方</w:t>
      </w:r>
      <w:r>
        <w:rPr>
          <w:rFonts w:hint="eastAsia" w:ascii="宋体" w:hAnsi="宋体"/>
          <w:sz w:val="24"/>
          <w:szCs w:val="24"/>
          <w:lang w:val="en-US" w:eastAsia="zh-CN"/>
        </w:rPr>
        <w:t>按税法规定</w:t>
      </w:r>
      <w:r>
        <w:rPr>
          <w:rFonts w:hint="eastAsia" w:ascii="宋体" w:hAnsi="宋体"/>
          <w:sz w:val="24"/>
          <w:szCs w:val="24"/>
        </w:rPr>
        <w:t>向</w:t>
      </w:r>
      <w:r>
        <w:rPr>
          <w:rFonts w:hint="eastAsia" w:ascii="宋体" w:hAnsi="宋体"/>
          <w:sz w:val="24"/>
          <w:szCs w:val="24"/>
          <w:lang w:val="en-US" w:eastAsia="zh-CN"/>
        </w:rPr>
        <w:t>买受人</w:t>
      </w:r>
      <w:r>
        <w:rPr>
          <w:rFonts w:hint="eastAsia" w:ascii="宋体" w:hAnsi="宋体"/>
          <w:sz w:val="24"/>
          <w:szCs w:val="24"/>
        </w:rPr>
        <w:t>开具发票。</w:t>
      </w:r>
    </w:p>
    <w:p w14:paraId="52A06B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拍卖</w:t>
      </w:r>
      <w:r>
        <w:rPr>
          <w:rFonts w:hint="eastAsia" w:ascii="宋体" w:hAnsi="宋体"/>
          <w:sz w:val="24"/>
          <w:szCs w:val="24"/>
        </w:rPr>
        <w:t>成交后，买受人</w:t>
      </w:r>
      <w:r>
        <w:rPr>
          <w:rFonts w:hint="eastAsia" w:ascii="宋体" w:hAnsi="宋体"/>
          <w:sz w:val="24"/>
          <w:szCs w:val="24"/>
          <w:lang w:val="en-US" w:eastAsia="zh-CN"/>
        </w:rPr>
        <w:t>应在3个工作日内交纳拍卖佣金</w:t>
      </w:r>
      <w:r>
        <w:rPr>
          <w:rFonts w:hint="eastAsia" w:ascii="宋体" w:hAnsi="宋体"/>
          <w:sz w:val="24"/>
          <w:szCs w:val="24"/>
          <w:lang w:eastAsia="zh-CN"/>
        </w:rPr>
        <w:t>（成交价的5%）</w:t>
      </w:r>
      <w:r>
        <w:rPr>
          <w:rFonts w:hint="eastAsia" w:ascii="宋体" w:hAnsi="宋体"/>
          <w:sz w:val="24"/>
          <w:szCs w:val="24"/>
          <w:lang w:val="en-US" w:eastAsia="zh-CN"/>
        </w:rPr>
        <w:t>至拍卖方指定账户，并</w:t>
      </w:r>
      <w:r>
        <w:rPr>
          <w:rFonts w:hint="eastAsia" w:ascii="宋体" w:hAnsi="宋体"/>
          <w:sz w:val="24"/>
          <w:szCs w:val="24"/>
        </w:rPr>
        <w:t>签订《拍卖成交确认书》</w:t>
      </w:r>
      <w:r>
        <w:rPr>
          <w:rFonts w:hint="eastAsia" w:ascii="宋体" w:hAnsi="宋体"/>
          <w:sz w:val="24"/>
          <w:szCs w:val="24"/>
          <w:lang w:eastAsia="zh-CN"/>
        </w:rPr>
        <w:t>；同时3个工作日内</w:t>
      </w:r>
      <w:r>
        <w:rPr>
          <w:rFonts w:hint="eastAsia" w:ascii="宋体" w:hAnsi="宋体"/>
          <w:sz w:val="24"/>
          <w:szCs w:val="24"/>
          <w:lang w:val="en-US" w:eastAsia="zh-CN"/>
        </w:rPr>
        <w:t>向转让方指定账户交</w:t>
      </w:r>
      <w:r>
        <w:rPr>
          <w:rFonts w:hint="eastAsia" w:ascii="宋体" w:hAnsi="宋体"/>
          <w:sz w:val="24"/>
          <w:szCs w:val="24"/>
          <w:lang w:eastAsia="zh-CN"/>
        </w:rPr>
        <w:t>纳履约保证金（成交价的5%，</w:t>
      </w:r>
      <w:r>
        <w:rPr>
          <w:rFonts w:hint="eastAsia" w:ascii="宋体" w:hAnsi="宋体"/>
          <w:sz w:val="24"/>
          <w:szCs w:val="24"/>
          <w:lang w:val="en-US" w:eastAsia="zh-CN"/>
        </w:rPr>
        <w:t>四舍五入后取整至万元</w:t>
      </w:r>
      <w:r>
        <w:rPr>
          <w:rFonts w:hint="eastAsia" w:ascii="宋体" w:hAnsi="宋体"/>
          <w:sz w:val="24"/>
          <w:szCs w:val="24"/>
          <w:lang w:eastAsia="zh-CN"/>
        </w:rPr>
        <w:t>），作为市场准入资格申办、合同签订、合同履行的担保，</w:t>
      </w:r>
      <w:r>
        <w:rPr>
          <w:rFonts w:hint="eastAsia" w:ascii="宋体" w:hAnsi="宋体"/>
          <w:sz w:val="24"/>
          <w:szCs w:val="24"/>
        </w:rPr>
        <w:t>该项目交割完结且</w:t>
      </w:r>
      <w:r>
        <w:rPr>
          <w:rFonts w:hint="eastAsia" w:ascii="宋体" w:hAnsi="宋体"/>
          <w:sz w:val="24"/>
          <w:szCs w:val="24"/>
          <w:lang w:val="en-US" w:eastAsia="zh-CN"/>
        </w:rPr>
        <w:t>经转让方验收后</w:t>
      </w:r>
      <w:r>
        <w:rPr>
          <w:rFonts w:hint="eastAsia" w:ascii="宋体" w:hAnsi="宋体"/>
          <w:sz w:val="24"/>
          <w:szCs w:val="24"/>
          <w:lang w:eastAsia="zh-CN"/>
        </w:rPr>
        <w:t>，</w:t>
      </w:r>
      <w:r>
        <w:rPr>
          <w:rFonts w:hint="eastAsia" w:ascii="宋体" w:hAnsi="宋体"/>
          <w:sz w:val="24"/>
          <w:szCs w:val="24"/>
        </w:rPr>
        <w:t>将</w:t>
      </w:r>
      <w:r>
        <w:rPr>
          <w:rFonts w:hint="eastAsia" w:ascii="宋体" w:hAnsi="宋体"/>
          <w:sz w:val="24"/>
          <w:szCs w:val="24"/>
          <w:lang w:val="en-US" w:eastAsia="zh-CN"/>
        </w:rPr>
        <w:t>该履约保证金无息</w:t>
      </w:r>
      <w:r>
        <w:rPr>
          <w:rFonts w:hint="eastAsia" w:ascii="宋体" w:hAnsi="宋体"/>
          <w:sz w:val="24"/>
          <w:szCs w:val="24"/>
        </w:rPr>
        <w:t>退回</w:t>
      </w:r>
      <w:r>
        <w:rPr>
          <w:rFonts w:hint="eastAsia" w:ascii="宋体" w:hAnsi="宋体"/>
          <w:sz w:val="24"/>
          <w:szCs w:val="24"/>
          <w:lang w:val="en-US" w:eastAsia="zh-CN"/>
        </w:rPr>
        <w:t>买受人</w:t>
      </w:r>
      <w:r>
        <w:rPr>
          <w:rFonts w:hint="eastAsia" w:ascii="宋体" w:hAnsi="宋体"/>
          <w:sz w:val="24"/>
          <w:szCs w:val="24"/>
        </w:rPr>
        <w:t>指定账户</w:t>
      </w:r>
      <w:r>
        <w:rPr>
          <w:rFonts w:hint="eastAsia" w:ascii="宋体" w:hAnsi="宋体"/>
          <w:sz w:val="24"/>
          <w:szCs w:val="24"/>
          <w:lang w:eastAsia="zh-CN"/>
        </w:rPr>
        <w:t>。</w:t>
      </w:r>
    </w:p>
    <w:p w14:paraId="6F85E10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7、买受人自接到转让方签订合同通知起3个工作日内与转让方签署《报废资产处置合同》，应在《报</w:t>
      </w:r>
      <w:r>
        <w:rPr>
          <w:rFonts w:hint="eastAsia" w:ascii="宋体" w:hAnsi="宋体"/>
          <w:sz w:val="24"/>
          <w:szCs w:val="24"/>
          <w:lang w:eastAsia="zh-CN"/>
        </w:rPr>
        <w:t>废</w:t>
      </w:r>
      <w:r>
        <w:rPr>
          <w:rFonts w:hint="eastAsia" w:ascii="宋体" w:hAnsi="宋体"/>
          <w:sz w:val="24"/>
          <w:szCs w:val="24"/>
        </w:rPr>
        <w:t>资产</w:t>
      </w:r>
      <w:r>
        <w:rPr>
          <w:rFonts w:hint="eastAsia" w:ascii="宋体" w:hAnsi="宋体"/>
          <w:sz w:val="24"/>
          <w:szCs w:val="24"/>
          <w:lang w:eastAsia="zh-CN"/>
        </w:rPr>
        <w:t>处置</w:t>
      </w:r>
      <w:r>
        <w:rPr>
          <w:rFonts w:hint="eastAsia" w:ascii="宋体" w:hAnsi="宋体"/>
          <w:sz w:val="24"/>
          <w:szCs w:val="24"/>
        </w:rPr>
        <w:t>合同》</w:t>
      </w:r>
      <w:r>
        <w:rPr>
          <w:rFonts w:hint="eastAsia" w:ascii="宋体" w:hAnsi="宋体"/>
          <w:sz w:val="24"/>
          <w:szCs w:val="24"/>
          <w:lang w:val="en-US" w:eastAsia="zh-CN"/>
        </w:rPr>
        <w:t>生效后5个工作日内</w:t>
      </w:r>
      <w:r>
        <w:rPr>
          <w:rFonts w:hint="eastAsia" w:ascii="宋体" w:hAnsi="宋体"/>
          <w:sz w:val="24"/>
          <w:szCs w:val="24"/>
        </w:rPr>
        <w:t>，</w:t>
      </w:r>
      <w:r>
        <w:rPr>
          <w:rFonts w:hint="eastAsia" w:ascii="宋体" w:hAnsi="宋体"/>
          <w:sz w:val="24"/>
          <w:szCs w:val="24"/>
          <w:lang w:val="en-US" w:eastAsia="zh-CN"/>
        </w:rPr>
        <w:t>按合同约定</w:t>
      </w:r>
      <w:r>
        <w:rPr>
          <w:rFonts w:hint="eastAsia" w:ascii="宋体" w:hAnsi="宋体"/>
          <w:sz w:val="24"/>
          <w:szCs w:val="24"/>
        </w:rPr>
        <w:t>将全部成交价款</w:t>
      </w:r>
      <w:r>
        <w:rPr>
          <w:rFonts w:hint="eastAsia" w:ascii="宋体" w:hAnsi="宋体"/>
          <w:sz w:val="24"/>
          <w:szCs w:val="24"/>
          <w:lang w:eastAsia="zh-CN"/>
        </w:rPr>
        <w:t>（包含税款）</w:t>
      </w:r>
      <w:r>
        <w:rPr>
          <w:rFonts w:hint="eastAsia" w:ascii="宋体" w:hAnsi="宋体"/>
          <w:sz w:val="24"/>
          <w:szCs w:val="24"/>
        </w:rPr>
        <w:t>支付至</w:t>
      </w:r>
      <w:r>
        <w:rPr>
          <w:rFonts w:hint="eastAsia" w:ascii="宋体" w:hAnsi="宋体"/>
          <w:sz w:val="24"/>
          <w:szCs w:val="24"/>
          <w:lang w:val="en-US" w:eastAsia="zh-CN"/>
        </w:rPr>
        <w:t>转让方</w:t>
      </w:r>
      <w:r>
        <w:rPr>
          <w:rFonts w:hint="eastAsia" w:ascii="宋体" w:hAnsi="宋体"/>
          <w:sz w:val="24"/>
          <w:szCs w:val="24"/>
        </w:rPr>
        <w:t>指定账户</w:t>
      </w:r>
      <w:r>
        <w:rPr>
          <w:rFonts w:hint="eastAsia" w:ascii="宋体" w:hAnsi="宋体"/>
          <w:sz w:val="24"/>
          <w:szCs w:val="24"/>
          <w:lang w:eastAsia="zh-CN"/>
        </w:rPr>
        <w:t>。</w:t>
      </w:r>
      <w:r>
        <w:rPr>
          <w:rFonts w:hint="eastAsia" w:ascii="宋体" w:hAnsi="宋体"/>
          <w:sz w:val="24"/>
          <w:szCs w:val="24"/>
        </w:rPr>
        <w:t>买受人若</w:t>
      </w:r>
      <w:r>
        <w:rPr>
          <w:rFonts w:hint="eastAsia" w:ascii="宋体" w:hAnsi="宋体"/>
          <w:sz w:val="24"/>
          <w:szCs w:val="24"/>
          <w:lang w:val="en-US" w:eastAsia="zh-CN"/>
        </w:rPr>
        <w:t>不签订</w:t>
      </w:r>
      <w:r>
        <w:rPr>
          <w:rFonts w:hint="eastAsia" w:ascii="宋体" w:hAnsi="宋体"/>
          <w:sz w:val="24"/>
          <w:szCs w:val="24"/>
        </w:rPr>
        <w:t>相关</w:t>
      </w:r>
      <w:r>
        <w:rPr>
          <w:rFonts w:hint="eastAsia" w:ascii="宋体" w:hAnsi="宋体"/>
          <w:sz w:val="24"/>
          <w:szCs w:val="24"/>
          <w:lang w:val="en-US" w:eastAsia="zh-CN"/>
        </w:rPr>
        <w:t>文件或</w:t>
      </w:r>
      <w:r>
        <w:rPr>
          <w:rFonts w:hint="eastAsia" w:ascii="宋体" w:hAnsi="宋体"/>
          <w:sz w:val="24"/>
          <w:szCs w:val="24"/>
        </w:rPr>
        <w:t>未按规定时间交纳</w:t>
      </w:r>
      <w:r>
        <w:rPr>
          <w:rFonts w:hint="eastAsia" w:ascii="宋体" w:hAnsi="宋体"/>
          <w:sz w:val="24"/>
          <w:szCs w:val="24"/>
          <w:lang w:val="en-US" w:eastAsia="zh-CN"/>
        </w:rPr>
        <w:t>履约保证金、</w:t>
      </w:r>
      <w:r>
        <w:rPr>
          <w:rFonts w:hint="eastAsia" w:ascii="宋体" w:hAnsi="宋体"/>
          <w:sz w:val="24"/>
          <w:szCs w:val="24"/>
        </w:rPr>
        <w:t>成交价款</w:t>
      </w:r>
      <w:r>
        <w:rPr>
          <w:rFonts w:hint="eastAsia" w:ascii="宋体" w:hAnsi="宋体"/>
          <w:sz w:val="24"/>
          <w:szCs w:val="24"/>
          <w:lang w:eastAsia="zh-CN"/>
        </w:rPr>
        <w:t>、</w:t>
      </w:r>
      <w:r>
        <w:rPr>
          <w:rFonts w:hint="eastAsia" w:ascii="宋体" w:hAnsi="宋体"/>
          <w:sz w:val="24"/>
          <w:szCs w:val="24"/>
          <w:lang w:val="en-US" w:eastAsia="zh-CN"/>
        </w:rPr>
        <w:t>拍卖佣金</w:t>
      </w:r>
      <w:r>
        <w:rPr>
          <w:rFonts w:hint="eastAsia" w:ascii="宋体" w:hAnsi="宋体"/>
          <w:sz w:val="24"/>
          <w:szCs w:val="24"/>
        </w:rPr>
        <w:t>，</w:t>
      </w:r>
      <w:r>
        <w:rPr>
          <w:rFonts w:hint="eastAsia" w:ascii="宋体" w:hAnsi="宋体"/>
          <w:sz w:val="24"/>
          <w:szCs w:val="24"/>
          <w:lang w:val="en-US" w:eastAsia="zh-CN"/>
        </w:rPr>
        <w:t>视为违约</w:t>
      </w:r>
      <w:r>
        <w:rPr>
          <w:rFonts w:hint="eastAsia" w:ascii="宋体" w:hAnsi="宋体"/>
          <w:sz w:val="24"/>
          <w:szCs w:val="24"/>
        </w:rPr>
        <w:t>，</w:t>
      </w:r>
      <w:r>
        <w:rPr>
          <w:rFonts w:hint="eastAsia" w:ascii="宋体" w:hAnsi="宋体"/>
          <w:sz w:val="24"/>
          <w:szCs w:val="24"/>
          <w:lang w:val="en-US" w:eastAsia="zh-CN"/>
        </w:rPr>
        <w:t>取消其成交资格，</w:t>
      </w:r>
      <w:r>
        <w:rPr>
          <w:rFonts w:hint="eastAsia" w:ascii="宋体" w:hAnsi="宋体"/>
          <w:sz w:val="24"/>
          <w:szCs w:val="24"/>
        </w:rPr>
        <w:t>所</w:t>
      </w:r>
      <w:r>
        <w:rPr>
          <w:rFonts w:hint="eastAsia" w:ascii="宋体" w:hAnsi="宋体"/>
          <w:sz w:val="24"/>
          <w:szCs w:val="24"/>
          <w:lang w:val="en-US" w:eastAsia="zh-CN"/>
        </w:rPr>
        <w:t>交纳的</w:t>
      </w:r>
      <w:r>
        <w:rPr>
          <w:rFonts w:hint="eastAsia" w:ascii="宋体" w:hAnsi="宋体"/>
          <w:sz w:val="24"/>
          <w:szCs w:val="24"/>
        </w:rPr>
        <w:t>保证金</w:t>
      </w:r>
      <w:r>
        <w:rPr>
          <w:rFonts w:hint="eastAsia" w:ascii="宋体" w:hAnsi="宋体"/>
          <w:sz w:val="24"/>
          <w:szCs w:val="24"/>
          <w:lang w:val="en-US" w:eastAsia="zh-CN"/>
        </w:rPr>
        <w:t>转</w:t>
      </w:r>
      <w:r>
        <w:rPr>
          <w:rFonts w:hint="eastAsia" w:ascii="宋体" w:hAnsi="宋体"/>
          <w:sz w:val="24"/>
          <w:szCs w:val="24"/>
        </w:rPr>
        <w:t>为违约金，并按《中华人民共和国拍卖法》等有关规定承担赔偿责任（包括但不限于该标的最终成交价款与本次拍卖成交价格之间的差价及因此产生的相关费用。</w:t>
      </w:r>
    </w:p>
    <w:p w14:paraId="647A6F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14:paraId="19872710">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w:t>
      </w:r>
      <w:r>
        <w:rPr>
          <w:rFonts w:hint="eastAsia" w:ascii="宋体" w:hAnsi="宋体"/>
          <w:sz w:val="24"/>
          <w:szCs w:val="24"/>
          <w:lang w:val="en-US" w:eastAsia="zh-CN"/>
        </w:rPr>
        <w:t>向拍卖人</w:t>
      </w:r>
      <w:r>
        <w:rPr>
          <w:rFonts w:hint="eastAsia" w:ascii="宋体" w:hAnsi="宋体"/>
          <w:sz w:val="24"/>
          <w:szCs w:val="24"/>
        </w:rPr>
        <w:t>申请退</w:t>
      </w:r>
      <w:r>
        <w:rPr>
          <w:rFonts w:hint="eastAsia" w:ascii="宋体" w:hAnsi="宋体"/>
          <w:sz w:val="24"/>
          <w:szCs w:val="24"/>
          <w:lang w:val="en-US" w:eastAsia="zh-CN"/>
        </w:rPr>
        <w:t>还保证金</w:t>
      </w:r>
      <w:r>
        <w:rPr>
          <w:rFonts w:hint="eastAsia" w:ascii="宋体" w:hAnsi="宋体"/>
          <w:sz w:val="24"/>
          <w:szCs w:val="24"/>
        </w:rPr>
        <w:t>。</w:t>
      </w:r>
    </w:p>
    <w:p w14:paraId="23ED4C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2E2F4719">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Theme="minorEastAsia" w:cstheme="minorBidi"/>
          <w:b w:val="0"/>
          <w:bCs w:val="0"/>
          <w:i w:val="0"/>
          <w:caps w:val="0"/>
          <w:color w:val="auto"/>
          <w:spacing w:val="0"/>
          <w:sz w:val="24"/>
          <w:szCs w:val="24"/>
          <w:highlight w:val="none"/>
          <w:shd w:val="clear" w:fill="FFFFFF"/>
          <w:lang w:val="en-US" w:eastAsia="zh-CN"/>
        </w:rPr>
      </w:pPr>
      <w:r>
        <w:rPr>
          <w:rFonts w:hint="eastAsia" w:ascii="宋体" w:hAnsi="宋体"/>
          <w:b w:val="0"/>
          <w:bCs w:val="0"/>
          <w:sz w:val="24"/>
          <w:szCs w:val="24"/>
          <w:highlight w:val="none"/>
          <w:lang w:val="en-US" w:eastAsia="zh-CN"/>
        </w:rPr>
        <w:t>11.资产</w:t>
      </w:r>
      <w:r>
        <w:rPr>
          <w:rFonts w:hint="eastAsia" w:ascii="宋体" w:hAnsi="宋体" w:eastAsiaTheme="minorEastAsia" w:cstheme="minorBidi"/>
          <w:b w:val="0"/>
          <w:bCs w:val="0"/>
          <w:i w:val="0"/>
          <w:caps w:val="0"/>
          <w:color w:val="auto"/>
          <w:spacing w:val="0"/>
          <w:sz w:val="24"/>
          <w:szCs w:val="24"/>
          <w:highlight w:val="none"/>
          <w:shd w:val="clear" w:fill="FFFFFF"/>
        </w:rPr>
        <w:t>清单仅供参考，不作为标的交接依据。标的移交时以</w:t>
      </w:r>
      <w:r>
        <w:rPr>
          <w:rFonts w:hint="eastAsia" w:ascii="宋体" w:hAnsi="宋体" w:cstheme="minorBidi"/>
          <w:b w:val="0"/>
          <w:bCs w:val="0"/>
          <w:i w:val="0"/>
          <w:caps w:val="0"/>
          <w:color w:val="auto"/>
          <w:spacing w:val="0"/>
          <w:sz w:val="24"/>
          <w:szCs w:val="24"/>
          <w:highlight w:val="none"/>
          <w:shd w:val="clear" w:fill="FFFFFF"/>
          <w:lang w:val="en-US" w:eastAsia="zh-CN"/>
        </w:rPr>
        <w:t>资产现状为准</w:t>
      </w:r>
      <w:r>
        <w:rPr>
          <w:rFonts w:hint="eastAsia" w:ascii="宋体" w:hAnsi="宋体" w:eastAsiaTheme="minorEastAsia" w:cstheme="minorBidi"/>
          <w:b w:val="0"/>
          <w:bCs w:val="0"/>
          <w:i w:val="0"/>
          <w:caps w:val="0"/>
          <w:color w:val="auto"/>
          <w:spacing w:val="0"/>
          <w:sz w:val="24"/>
          <w:szCs w:val="24"/>
          <w:highlight w:val="none"/>
          <w:shd w:val="clear" w:fill="FFFFFF"/>
        </w:rPr>
        <w:t>。竞买人须现场查看标的并自行评估标的价值，一旦参与竞买即视</w:t>
      </w:r>
      <w:r>
        <w:rPr>
          <w:rFonts w:hint="eastAsia" w:ascii="宋体" w:hAnsi="宋体" w:cstheme="minorBidi"/>
          <w:b w:val="0"/>
          <w:bCs w:val="0"/>
          <w:i w:val="0"/>
          <w:caps w:val="0"/>
          <w:color w:val="auto"/>
          <w:spacing w:val="0"/>
          <w:sz w:val="24"/>
          <w:szCs w:val="24"/>
          <w:highlight w:val="none"/>
          <w:shd w:val="clear" w:fill="FFFFFF"/>
          <w:lang w:val="en-US" w:eastAsia="zh-CN"/>
        </w:rPr>
        <w:t>为</w:t>
      </w:r>
      <w:r>
        <w:rPr>
          <w:rFonts w:hint="eastAsia" w:ascii="宋体" w:hAnsi="宋体" w:eastAsiaTheme="minorEastAsia" w:cstheme="minorBidi"/>
          <w:b w:val="0"/>
          <w:bCs w:val="0"/>
          <w:i w:val="0"/>
          <w:caps w:val="0"/>
          <w:color w:val="auto"/>
          <w:spacing w:val="0"/>
          <w:sz w:val="24"/>
          <w:szCs w:val="24"/>
          <w:highlight w:val="none"/>
          <w:shd w:val="clear" w:fill="FFFFFF"/>
        </w:rPr>
        <w:t>认可该标的物</w:t>
      </w:r>
      <w:r>
        <w:rPr>
          <w:rFonts w:hint="eastAsia" w:ascii="宋体" w:hAnsi="宋体" w:cstheme="minorBidi"/>
          <w:b w:val="0"/>
          <w:bCs w:val="0"/>
          <w:i w:val="0"/>
          <w:caps w:val="0"/>
          <w:color w:val="auto"/>
          <w:spacing w:val="0"/>
          <w:sz w:val="24"/>
          <w:szCs w:val="24"/>
          <w:highlight w:val="none"/>
          <w:shd w:val="clear" w:fill="FFFFFF"/>
          <w:lang w:val="en-US" w:eastAsia="zh-CN"/>
        </w:rPr>
        <w:t>的现状</w:t>
      </w:r>
      <w:r>
        <w:rPr>
          <w:rFonts w:hint="eastAsia" w:ascii="宋体" w:hAnsi="宋体" w:eastAsiaTheme="minorEastAsia" w:cstheme="minorBidi"/>
          <w:b w:val="0"/>
          <w:bCs w:val="0"/>
          <w:i w:val="0"/>
          <w:caps w:val="0"/>
          <w:color w:val="auto"/>
          <w:spacing w:val="0"/>
          <w:sz w:val="24"/>
          <w:szCs w:val="24"/>
          <w:highlight w:val="none"/>
          <w:shd w:val="clear" w:fill="FFFFFF"/>
        </w:rPr>
        <w:t>，并承担相应的责任，不得以此提出抗辩或拒付成交价款及拍卖佣金。</w:t>
      </w:r>
    </w:p>
    <w:p w14:paraId="3EC2134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Theme="minorEastAsia" w:cstheme="minorBidi"/>
          <w:i w:val="0"/>
          <w:caps w:val="0"/>
          <w:color w:val="auto"/>
          <w:spacing w:val="0"/>
          <w:kern w:val="2"/>
          <w:sz w:val="24"/>
          <w:szCs w:val="24"/>
          <w:highlight w:val="none"/>
          <w:shd w:val="clear" w:fill="FFFFFF"/>
          <w:lang w:val="en-US" w:eastAsia="zh-CN" w:bidi="ar-SA"/>
        </w:rPr>
      </w:pPr>
      <w:r>
        <w:rPr>
          <w:rFonts w:hint="eastAsia" w:ascii="宋体" w:hAnsi="宋体" w:eastAsiaTheme="minorEastAsia" w:cstheme="minorBidi"/>
          <w:b w:val="0"/>
          <w:bCs w:val="0"/>
          <w:i w:val="0"/>
          <w:caps w:val="0"/>
          <w:color w:val="auto"/>
          <w:spacing w:val="0"/>
          <w:sz w:val="24"/>
          <w:szCs w:val="24"/>
          <w:highlight w:val="none"/>
          <w:shd w:val="clear" w:fill="FFFFFF"/>
          <w:lang w:val="en-US" w:eastAsia="zh-CN"/>
        </w:rPr>
        <w:t>12.买受人应在签订《报废资产处置合同》及支付全</w:t>
      </w:r>
      <w:bookmarkStart w:id="2" w:name="_GoBack"/>
      <w:bookmarkEnd w:id="2"/>
      <w:r>
        <w:rPr>
          <w:rFonts w:hint="eastAsia" w:ascii="宋体" w:hAnsi="宋体" w:eastAsiaTheme="minorEastAsia" w:cstheme="minorBidi"/>
          <w:b w:val="0"/>
          <w:bCs w:val="0"/>
          <w:i w:val="0"/>
          <w:caps w:val="0"/>
          <w:color w:val="auto"/>
          <w:spacing w:val="0"/>
          <w:sz w:val="24"/>
          <w:szCs w:val="24"/>
          <w:highlight w:val="none"/>
          <w:shd w:val="clear" w:fill="FFFFFF"/>
          <w:lang w:val="en-US" w:eastAsia="zh-CN"/>
        </w:rPr>
        <w:t>部价款后的30个工作日内完成标的资产的交割工作。如因买受人原因导致资产交割未在规定</w:t>
      </w:r>
      <w:r>
        <w:rPr>
          <w:rFonts w:hint="eastAsia" w:ascii="宋体" w:hAnsi="宋体" w:eastAsiaTheme="minorEastAsia" w:cstheme="minorBidi"/>
          <w:i w:val="0"/>
          <w:caps w:val="0"/>
          <w:color w:val="auto"/>
          <w:spacing w:val="0"/>
          <w:kern w:val="2"/>
          <w:sz w:val="24"/>
          <w:szCs w:val="24"/>
          <w:highlight w:val="none"/>
          <w:shd w:val="clear" w:fill="FFFFFF"/>
          <w:lang w:val="en-US" w:eastAsia="zh-CN" w:bidi="ar-SA"/>
        </w:rPr>
        <w:t>时间内完成，买受人应按照2000元/天支付仓储费用，逾期超过30日的，视为买受人放弃未交割的标的资产，转让方有权另行处置。</w:t>
      </w:r>
    </w:p>
    <w:p w14:paraId="7E945A0D">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Theme="minorEastAsia" w:cstheme="minorBidi"/>
          <w:i w:val="0"/>
          <w:caps w:val="0"/>
          <w:color w:val="auto"/>
          <w:spacing w:val="0"/>
          <w:kern w:val="2"/>
          <w:sz w:val="24"/>
          <w:szCs w:val="24"/>
          <w:highlight w:val="none"/>
          <w:shd w:val="clear" w:fill="FFFFFF"/>
          <w:lang w:val="en-US" w:eastAsia="zh-CN" w:bidi="ar-SA"/>
        </w:rPr>
      </w:pPr>
      <w:r>
        <w:rPr>
          <w:rFonts w:hint="eastAsia" w:ascii="宋体" w:hAnsi="宋体" w:eastAsiaTheme="minorEastAsia" w:cstheme="minorBidi"/>
          <w:i w:val="0"/>
          <w:caps w:val="0"/>
          <w:color w:val="auto"/>
          <w:spacing w:val="0"/>
          <w:kern w:val="2"/>
          <w:sz w:val="24"/>
          <w:szCs w:val="24"/>
          <w:highlight w:val="none"/>
          <w:shd w:val="clear" w:fill="FFFFFF"/>
          <w:lang w:val="en-US" w:eastAsia="zh-CN" w:bidi="ar-SA"/>
        </w:rPr>
        <w:t>13.标的资产的装卸、运输、场地清理等费用由买受人承担。资产交割工作应按照转让方的安全环保要求开展，资产移交过程中，因买受人原因造成的环境污染所发生的任何费用均由买受人承担，转让方不承担由此造成的任何责任。</w:t>
      </w:r>
    </w:p>
    <w:p w14:paraId="63A60261">
      <w:pPr>
        <w:pStyle w:val="25"/>
        <w:keepNext w:val="0"/>
        <w:keepLines w:val="0"/>
        <w:pageBreakBefore w:val="0"/>
        <w:kinsoku/>
        <w:wordWrap/>
        <w:overflowPunct/>
        <w:topLinePunct w:val="0"/>
        <w:autoSpaceDE/>
        <w:autoSpaceDN/>
        <w:bidi w:val="0"/>
        <w:spacing w:line="360" w:lineRule="auto"/>
        <w:jc w:val="both"/>
        <w:textAlignment w:val="auto"/>
        <w:rPr>
          <w:rFonts w:hint="eastAsia" w:ascii="Tahoma" w:hAnsi="Tahoma" w:cs="Tahoma"/>
          <w:b/>
          <w:color w:val="000000"/>
          <w:sz w:val="32"/>
          <w:szCs w:val="32"/>
        </w:rPr>
      </w:pPr>
    </w:p>
    <w:p w14:paraId="76DFCF72">
      <w:pPr>
        <w:pStyle w:val="25"/>
        <w:keepNext w:val="0"/>
        <w:keepLines w:val="0"/>
        <w:pageBreakBefore w:val="0"/>
        <w:kinsoku/>
        <w:wordWrap/>
        <w:overflowPunct/>
        <w:topLinePunct w:val="0"/>
        <w:autoSpaceDE/>
        <w:autoSpaceDN/>
        <w:bidi w:val="0"/>
        <w:spacing w:line="360" w:lineRule="auto"/>
        <w:jc w:val="center"/>
        <w:textAlignment w:val="auto"/>
        <w:rPr>
          <w:rFonts w:ascii="Tahoma" w:hAnsi="Tahoma" w:cs="Tahoma"/>
          <w:b/>
          <w:color w:val="000000"/>
          <w:sz w:val="32"/>
          <w:szCs w:val="32"/>
        </w:rPr>
      </w:pPr>
      <w:r>
        <w:rPr>
          <w:rFonts w:hint="eastAsia" w:ascii="Tahoma" w:hAnsi="Tahoma" w:cs="Tahoma"/>
          <w:b/>
          <w:color w:val="000000"/>
          <w:sz w:val="32"/>
          <w:szCs w:val="32"/>
        </w:rPr>
        <w:t>拍 卖 标 的</w:t>
      </w:r>
    </w:p>
    <w:p w14:paraId="0CF83AD2">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特别说明：</w:t>
      </w:r>
    </w:p>
    <w:p w14:paraId="7410EB31">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w:t>
      </w:r>
      <w:r>
        <w:rPr>
          <w:rFonts w:hint="eastAsia" w:ascii="宋体" w:hAnsi="宋体"/>
          <w:sz w:val="24"/>
          <w:szCs w:val="24"/>
          <w:lang w:eastAsia="zh-CN"/>
        </w:rPr>
        <w:t>转让方</w:t>
      </w:r>
      <w:r>
        <w:rPr>
          <w:rFonts w:hint="eastAsia" w:ascii="宋体" w:hAnsi="宋体"/>
          <w:sz w:val="24"/>
          <w:szCs w:val="24"/>
        </w:rPr>
        <w:t>均不承担瑕疵担保责任。</w:t>
      </w:r>
    </w:p>
    <w:p w14:paraId="0C19B5B9">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14:textFill>
            <w14:solidFill>
              <w14:schemeClr w14:val="tx1"/>
            </w14:solidFill>
          </w14:textFill>
        </w:rPr>
        <w:t>《</w:t>
      </w:r>
      <w:r>
        <w:rPr>
          <w:rFonts w:hint="eastAsia"/>
          <w:color w:val="auto"/>
          <w:sz w:val="24"/>
          <w:szCs w:val="24"/>
          <w:lang w:val="en-US" w:eastAsia="zh-CN"/>
        </w:rPr>
        <w:t>报废</w:t>
      </w:r>
      <w:r>
        <w:rPr>
          <w:rFonts w:hint="eastAsia"/>
          <w:color w:val="auto"/>
          <w:sz w:val="24"/>
          <w:szCs w:val="24"/>
        </w:rPr>
        <w:t>资产</w:t>
      </w:r>
      <w:r>
        <w:rPr>
          <w:rFonts w:hint="eastAsia"/>
          <w:color w:val="auto"/>
          <w:sz w:val="24"/>
          <w:szCs w:val="24"/>
          <w:lang w:eastAsia="zh-CN"/>
        </w:rPr>
        <w:t>处置</w:t>
      </w:r>
      <w:r>
        <w:rPr>
          <w:rFonts w:hint="eastAsia"/>
          <w:color w:val="auto"/>
          <w:sz w:val="24"/>
          <w:szCs w:val="24"/>
        </w:rPr>
        <w:t>合同</w:t>
      </w:r>
      <w:r>
        <w:rPr>
          <w:color w:val="000000" w:themeColor="text1"/>
          <w:sz w:val="24"/>
          <w:szCs w:val="24"/>
          <w14:textFill>
            <w14:solidFill>
              <w14:schemeClr w14:val="tx1"/>
            </w14:solidFill>
          </w14:textFill>
        </w:rPr>
        <w:t>》</w:t>
      </w:r>
      <w:r>
        <w:rPr>
          <w:rFonts w:hint="eastAsia" w:ascii="宋体" w:hAnsi="宋体"/>
          <w:sz w:val="24"/>
          <w:szCs w:val="24"/>
        </w:rPr>
        <w:t>中规定的期限完成标的提取工作，买受人必须按照合同相关规定提取标的。</w:t>
      </w:r>
    </w:p>
    <w:p w14:paraId="31D72ABF">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4594E43B">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4、本次拍卖价格为</w:t>
      </w:r>
      <w:r>
        <w:rPr>
          <w:rFonts w:hint="eastAsia" w:ascii="宋体" w:hAnsi="宋体"/>
          <w:sz w:val="24"/>
          <w:szCs w:val="24"/>
          <w:highlight w:val="none"/>
          <w:lang w:val="en-US" w:eastAsia="zh-CN"/>
        </w:rPr>
        <w:t>不</w:t>
      </w:r>
      <w:r>
        <w:rPr>
          <w:rFonts w:hint="eastAsia" w:ascii="宋体" w:hAnsi="宋体"/>
          <w:sz w:val="24"/>
          <w:szCs w:val="24"/>
          <w:highlight w:val="none"/>
        </w:rPr>
        <w:t>含税价。</w:t>
      </w:r>
      <w:r>
        <w:rPr>
          <w:rFonts w:hint="eastAsia"/>
          <w:sz w:val="24"/>
          <w:szCs w:val="24"/>
          <w:highlight w:val="none"/>
          <w:lang w:val="en-US" w:eastAsia="zh-CN"/>
        </w:rPr>
        <w:t>买受人应</w:t>
      </w:r>
      <w:r>
        <w:rPr>
          <w:rFonts w:hint="eastAsia"/>
          <w:sz w:val="24"/>
          <w:szCs w:val="24"/>
          <w:highlight w:val="none"/>
        </w:rPr>
        <w:t>在《</w:t>
      </w:r>
      <w:r>
        <w:rPr>
          <w:rFonts w:hint="eastAsia"/>
          <w:color w:val="auto"/>
          <w:sz w:val="24"/>
          <w:szCs w:val="24"/>
          <w:highlight w:val="none"/>
          <w:lang w:eastAsia="zh-CN"/>
        </w:rPr>
        <w:t>报废</w:t>
      </w:r>
      <w:r>
        <w:rPr>
          <w:rFonts w:hint="eastAsia"/>
          <w:color w:val="auto"/>
          <w:sz w:val="24"/>
          <w:szCs w:val="24"/>
          <w:highlight w:val="none"/>
        </w:rPr>
        <w:t>资产</w:t>
      </w:r>
      <w:r>
        <w:rPr>
          <w:rFonts w:hint="eastAsia"/>
          <w:color w:val="auto"/>
          <w:sz w:val="24"/>
          <w:szCs w:val="24"/>
          <w:highlight w:val="none"/>
          <w:lang w:eastAsia="zh-CN"/>
        </w:rPr>
        <w:t>处置</w:t>
      </w:r>
      <w:r>
        <w:rPr>
          <w:rFonts w:hint="eastAsia"/>
          <w:color w:val="auto"/>
          <w:sz w:val="24"/>
          <w:szCs w:val="24"/>
          <w:highlight w:val="none"/>
        </w:rPr>
        <w:t>合同》</w:t>
      </w:r>
      <w:r>
        <w:rPr>
          <w:rFonts w:hint="eastAsia"/>
          <w:sz w:val="24"/>
          <w:szCs w:val="24"/>
          <w:highlight w:val="none"/>
        </w:rPr>
        <w:t>签订后5个工作日内</w:t>
      </w:r>
      <w:r>
        <w:rPr>
          <w:rFonts w:hint="eastAsia"/>
          <w:sz w:val="24"/>
          <w:szCs w:val="24"/>
          <w:highlight w:val="none"/>
          <w:lang w:eastAsia="zh-CN"/>
        </w:rPr>
        <w:t>将全部价款（含</w:t>
      </w:r>
      <w:r>
        <w:rPr>
          <w:rFonts w:hint="eastAsia"/>
          <w:sz w:val="24"/>
          <w:szCs w:val="24"/>
          <w:highlight w:val="none"/>
        </w:rPr>
        <w:t>税</w:t>
      </w:r>
      <w:r>
        <w:rPr>
          <w:rFonts w:hint="eastAsia"/>
          <w:sz w:val="24"/>
          <w:szCs w:val="24"/>
          <w:highlight w:val="none"/>
          <w:lang w:val="en-US" w:eastAsia="zh-CN"/>
        </w:rPr>
        <w:t>费）</w:t>
      </w:r>
      <w:r>
        <w:rPr>
          <w:rFonts w:hint="eastAsia"/>
          <w:sz w:val="24"/>
          <w:szCs w:val="24"/>
          <w:highlight w:val="none"/>
        </w:rPr>
        <w:t>支付至转让方指定账户，转让方</w:t>
      </w:r>
      <w:r>
        <w:rPr>
          <w:rFonts w:hint="eastAsia"/>
          <w:sz w:val="24"/>
          <w:szCs w:val="24"/>
          <w:highlight w:val="none"/>
          <w:lang w:val="en-US" w:eastAsia="zh-CN"/>
        </w:rPr>
        <w:t>按税法规定</w:t>
      </w:r>
      <w:r>
        <w:rPr>
          <w:rFonts w:hint="eastAsia"/>
          <w:sz w:val="24"/>
          <w:szCs w:val="24"/>
          <w:highlight w:val="none"/>
        </w:rPr>
        <w:t>向</w:t>
      </w:r>
      <w:r>
        <w:rPr>
          <w:rFonts w:hint="eastAsia"/>
          <w:sz w:val="24"/>
          <w:szCs w:val="24"/>
          <w:highlight w:val="none"/>
          <w:lang w:val="en-US" w:eastAsia="zh-CN"/>
        </w:rPr>
        <w:t>买受人</w:t>
      </w:r>
      <w:r>
        <w:rPr>
          <w:rFonts w:hint="eastAsia"/>
          <w:sz w:val="24"/>
          <w:szCs w:val="24"/>
          <w:highlight w:val="none"/>
        </w:rPr>
        <w:t>开具发票。</w:t>
      </w:r>
    </w:p>
    <w:p w14:paraId="0DBCECE3">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标的名称：</w:t>
      </w:r>
      <w:r>
        <w:rPr>
          <w:rFonts w:hint="eastAsia" w:ascii="宋体" w:hAnsi="宋体" w:eastAsiaTheme="minorEastAsia"/>
          <w:bCs w:val="0"/>
          <w:sz w:val="24"/>
          <w:szCs w:val="24"/>
          <w:u w:val="none"/>
          <w:lang w:eastAsia="zh-TW"/>
        </w:rPr>
        <w:t>中国石油天然气股份有限公司新疆油田油气储运分公司</w:t>
      </w:r>
      <w:r>
        <w:rPr>
          <w:rFonts w:hint="eastAsia" w:ascii="宋体" w:hAnsi="宋体"/>
          <w:sz w:val="24"/>
          <w:szCs w:val="24"/>
          <w:lang w:eastAsia="zh-TW"/>
        </w:rPr>
        <w:t>报废资产项目</w:t>
      </w:r>
    </w:p>
    <w:p w14:paraId="0EFBFE9C">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highlight w:val="none"/>
          <w:lang w:val="en-US" w:eastAsia="zh-CN"/>
        </w:rPr>
        <w:t>853000</w:t>
      </w:r>
      <w:r>
        <w:rPr>
          <w:rFonts w:hint="eastAsia" w:ascii="宋体" w:hAnsi="宋体"/>
          <w:sz w:val="24"/>
          <w:szCs w:val="24"/>
          <w:highlight w:val="none"/>
        </w:rPr>
        <w:t>元</w:t>
      </w:r>
    </w:p>
    <w:p w14:paraId="6320864A">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报价方式：网络报价</w:t>
      </w:r>
    </w:p>
    <w:p w14:paraId="61A193AD">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增加幅度：500</w:t>
      </w:r>
      <w:r>
        <w:rPr>
          <w:rFonts w:ascii="宋体" w:hAnsi="宋体"/>
          <w:sz w:val="24"/>
          <w:szCs w:val="24"/>
        </w:rPr>
        <w:t>0</w:t>
      </w:r>
      <w:r>
        <w:rPr>
          <w:rFonts w:hint="eastAsia" w:ascii="宋体" w:hAnsi="宋体"/>
          <w:sz w:val="24"/>
          <w:szCs w:val="24"/>
        </w:rPr>
        <w:t>元</w:t>
      </w:r>
    </w:p>
    <w:p w14:paraId="0D94554F">
      <w:pPr>
        <w:keepNext w:val="0"/>
        <w:keepLines w:val="0"/>
        <w:pageBreakBefore w:val="0"/>
        <w:kinsoku/>
        <w:wordWrap/>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情况说明：</w:t>
      </w:r>
    </w:p>
    <w:p w14:paraId="27719D78">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eastAsiaTheme="minorEastAsia"/>
          <w:bCs w:val="0"/>
          <w:sz w:val="24"/>
          <w:szCs w:val="24"/>
          <w:u w:val="none"/>
          <w:lang w:eastAsia="zh-TW"/>
        </w:rPr>
        <w:t>中国石油天然气股份有限公司新疆油田油气储运分公司</w:t>
      </w:r>
      <w:r>
        <w:rPr>
          <w:rFonts w:hint="eastAsia" w:ascii="宋体" w:hAnsi="宋体"/>
          <w:sz w:val="24"/>
          <w:szCs w:val="24"/>
          <w:lang w:eastAsia="zh-TW"/>
        </w:rPr>
        <w:t>报废资产项目</w:t>
      </w:r>
      <w:r>
        <w:rPr>
          <w:rFonts w:hint="eastAsia" w:ascii="宋体" w:hAnsi="宋体"/>
          <w:sz w:val="24"/>
          <w:szCs w:val="24"/>
        </w:rPr>
        <w:t>。</w:t>
      </w:r>
    </w:p>
    <w:p w14:paraId="206E6C13">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14:paraId="1BD56FB8">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14:paraId="7A4A6262">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bCs/>
          <w:sz w:val="24"/>
          <w:szCs w:val="24"/>
        </w:rPr>
      </w:pPr>
      <w:r>
        <w:rPr>
          <w:rFonts w:hint="eastAsia" w:ascii="宋体" w:hAnsi="宋体" w:eastAsia="宋体"/>
          <w:bCs/>
          <w:sz w:val="24"/>
          <w:szCs w:val="24"/>
        </w:rPr>
        <w:t xml:space="preserve">     </w:t>
      </w:r>
    </w:p>
    <w:p w14:paraId="5093F50F">
      <w:pPr>
        <w:keepNext w:val="0"/>
        <w:keepLines w:val="0"/>
        <w:pageBreakBefore w:val="0"/>
        <w:kinsoku/>
        <w:wordWrap/>
        <w:overflowPunct/>
        <w:topLinePunct w:val="0"/>
        <w:autoSpaceDE/>
        <w:autoSpaceDN/>
        <w:bidi w:val="0"/>
        <w:spacing w:line="360" w:lineRule="auto"/>
        <w:ind w:firstLine="4080" w:firstLineChars="1700"/>
        <w:textAlignment w:val="auto"/>
        <w:rPr>
          <w:sz w:val="24"/>
          <w:szCs w:val="24"/>
        </w:rPr>
      </w:pPr>
    </w:p>
    <w:p w14:paraId="11DF05A2">
      <w:pPr>
        <w:keepNext w:val="0"/>
        <w:keepLines w:val="0"/>
        <w:pageBreakBefore w:val="0"/>
        <w:kinsoku/>
        <w:wordWrap/>
        <w:overflowPunct/>
        <w:topLinePunct w:val="0"/>
        <w:autoSpaceDE/>
        <w:autoSpaceDN/>
        <w:bidi w:val="0"/>
        <w:spacing w:line="360" w:lineRule="auto"/>
        <w:ind w:firstLine="4080" w:firstLineChars="1700"/>
        <w:textAlignment w:val="auto"/>
        <w:rPr>
          <w:sz w:val="24"/>
          <w:szCs w:val="24"/>
        </w:rPr>
      </w:pPr>
    </w:p>
    <w:p w14:paraId="56752E01">
      <w:pPr>
        <w:keepNext w:val="0"/>
        <w:keepLines w:val="0"/>
        <w:pageBreakBefore w:val="0"/>
        <w:kinsoku/>
        <w:wordWrap/>
        <w:overflowPunct/>
        <w:topLinePunct w:val="0"/>
        <w:autoSpaceDE/>
        <w:autoSpaceDN/>
        <w:bidi w:val="0"/>
        <w:spacing w:line="360" w:lineRule="auto"/>
        <w:ind w:firstLine="3120" w:firstLineChars="1300"/>
        <w:textAlignment w:val="auto"/>
        <w:rPr>
          <w:sz w:val="24"/>
          <w:szCs w:val="24"/>
        </w:rPr>
      </w:pPr>
      <w:r>
        <w:rPr>
          <w:rFonts w:hint="eastAsia"/>
          <w:sz w:val="24"/>
          <w:szCs w:val="24"/>
        </w:rPr>
        <w:t>意向竞买人（签章已确认）：</w:t>
      </w:r>
      <w:r>
        <w:rPr>
          <w:sz w:val="24"/>
          <w:szCs w:val="24"/>
        </w:rPr>
        <w:t> </w:t>
      </w:r>
    </w:p>
    <w:p w14:paraId="40CD36C4">
      <w:pPr>
        <w:keepNext w:val="0"/>
        <w:keepLines w:val="0"/>
        <w:pageBreakBefore w:val="0"/>
        <w:kinsoku/>
        <w:wordWrap/>
        <w:overflowPunct/>
        <w:topLinePunct w:val="0"/>
        <w:autoSpaceDE/>
        <w:autoSpaceDN/>
        <w:bidi w:val="0"/>
        <w:spacing w:line="360" w:lineRule="auto"/>
        <w:textAlignment w:val="auto"/>
        <w:rPr>
          <w:rFonts w:ascii="宋体" w:hAnsi="宋体" w:eastAsia="宋体"/>
          <w:bCs/>
          <w:sz w:val="24"/>
          <w:szCs w:val="24"/>
        </w:rPr>
      </w:pPr>
      <w:r>
        <w:rPr>
          <w:rFonts w:hint="eastAsia" w:ascii="宋体" w:hAnsi="宋体" w:eastAsia="宋体"/>
          <w:bCs/>
          <w:sz w:val="24"/>
          <w:szCs w:val="24"/>
        </w:rPr>
        <w:t xml:space="preserve">                                           </w:t>
      </w:r>
    </w:p>
    <w:p w14:paraId="2E4A6A27">
      <w:pPr>
        <w:keepNext w:val="0"/>
        <w:keepLines w:val="0"/>
        <w:pageBreakBefore w:val="0"/>
        <w:kinsoku/>
        <w:wordWrap/>
        <w:overflowPunct/>
        <w:topLinePunct w:val="0"/>
        <w:autoSpaceDE/>
        <w:autoSpaceDN/>
        <w:bidi w:val="0"/>
        <w:spacing w:line="360" w:lineRule="auto"/>
        <w:ind w:firstLine="6240" w:firstLineChars="2600"/>
        <w:textAlignment w:val="auto"/>
        <w:rPr>
          <w:rFonts w:ascii="宋体" w:hAnsi="宋体" w:eastAsia="宋体"/>
          <w:bCs/>
          <w:sz w:val="24"/>
          <w:szCs w:val="24"/>
          <w:highlight w:val="none"/>
        </w:rPr>
      </w:pPr>
      <w:r>
        <w:rPr>
          <w:rFonts w:hint="eastAsia" w:ascii="宋体" w:hAnsi="宋体" w:eastAsia="宋体"/>
          <w:bCs/>
          <w:sz w:val="24"/>
          <w:szCs w:val="24"/>
          <w:highlight w:val="none"/>
        </w:rPr>
        <w:t>202</w:t>
      </w:r>
      <w:r>
        <w:rPr>
          <w:rFonts w:hint="eastAsia" w:ascii="宋体" w:hAnsi="宋体" w:eastAsia="宋体"/>
          <w:bCs/>
          <w:sz w:val="24"/>
          <w:szCs w:val="24"/>
          <w:highlight w:val="none"/>
          <w:lang w:val="en-US" w:eastAsia="zh-CN"/>
        </w:rPr>
        <w:t>4</w:t>
      </w:r>
      <w:r>
        <w:rPr>
          <w:rFonts w:hint="eastAsia" w:ascii="宋体" w:hAnsi="宋体" w:eastAsia="宋体"/>
          <w:bCs/>
          <w:sz w:val="24"/>
          <w:szCs w:val="24"/>
          <w:highlight w:val="none"/>
        </w:rPr>
        <w:t>年</w:t>
      </w:r>
      <w:r>
        <w:rPr>
          <w:rFonts w:hint="eastAsia" w:ascii="宋体" w:hAnsi="宋体" w:eastAsia="宋体"/>
          <w:bCs/>
          <w:sz w:val="24"/>
          <w:szCs w:val="24"/>
          <w:highlight w:val="none"/>
          <w:lang w:val="en-US" w:eastAsia="zh-CN"/>
        </w:rPr>
        <w:t>8</w:t>
      </w:r>
      <w:r>
        <w:rPr>
          <w:rFonts w:hint="eastAsia" w:ascii="宋体" w:hAnsi="宋体" w:eastAsia="宋体"/>
          <w:bCs/>
          <w:sz w:val="24"/>
          <w:szCs w:val="24"/>
          <w:highlight w:val="none"/>
        </w:rPr>
        <w:t>月</w:t>
      </w:r>
      <w:r>
        <w:rPr>
          <w:rFonts w:hint="eastAsia" w:ascii="宋体" w:hAnsi="宋体" w:eastAsia="宋体"/>
          <w:bCs/>
          <w:sz w:val="24"/>
          <w:szCs w:val="24"/>
          <w:highlight w:val="none"/>
          <w:lang w:val="en-US" w:eastAsia="zh-CN"/>
        </w:rPr>
        <w:t>30</w:t>
      </w:r>
      <w:r>
        <w:rPr>
          <w:rFonts w:hint="eastAsia" w:ascii="宋体" w:hAnsi="宋体" w:eastAsia="宋体"/>
          <w:bCs/>
          <w:sz w:val="24"/>
          <w:szCs w:val="24"/>
          <w:highlight w:val="none"/>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87F7">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24FF"/>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5E555A"/>
    <w:rsid w:val="01C91F2A"/>
    <w:rsid w:val="01D3677B"/>
    <w:rsid w:val="03A61885"/>
    <w:rsid w:val="04146CFE"/>
    <w:rsid w:val="0473160E"/>
    <w:rsid w:val="066F35AE"/>
    <w:rsid w:val="06890B12"/>
    <w:rsid w:val="0B615B96"/>
    <w:rsid w:val="0B7A5C6E"/>
    <w:rsid w:val="0C4D3DE0"/>
    <w:rsid w:val="0CAC24A0"/>
    <w:rsid w:val="0D522B4B"/>
    <w:rsid w:val="0EAD49C1"/>
    <w:rsid w:val="113906D1"/>
    <w:rsid w:val="11EE5EB3"/>
    <w:rsid w:val="128160C8"/>
    <w:rsid w:val="13EE061E"/>
    <w:rsid w:val="14FC4E1C"/>
    <w:rsid w:val="166959E1"/>
    <w:rsid w:val="17A84B57"/>
    <w:rsid w:val="17B06299"/>
    <w:rsid w:val="18361144"/>
    <w:rsid w:val="19010A9F"/>
    <w:rsid w:val="1B0951C4"/>
    <w:rsid w:val="1BC1729A"/>
    <w:rsid w:val="1C9F541B"/>
    <w:rsid w:val="1CB51CC3"/>
    <w:rsid w:val="1EB1216C"/>
    <w:rsid w:val="20642097"/>
    <w:rsid w:val="20F63E43"/>
    <w:rsid w:val="22E82583"/>
    <w:rsid w:val="22FB7AD1"/>
    <w:rsid w:val="237D6FBA"/>
    <w:rsid w:val="24E80C36"/>
    <w:rsid w:val="257C7182"/>
    <w:rsid w:val="25B01FAE"/>
    <w:rsid w:val="274169CB"/>
    <w:rsid w:val="29643BB6"/>
    <w:rsid w:val="2C3256AE"/>
    <w:rsid w:val="2D293D2C"/>
    <w:rsid w:val="2F074F7B"/>
    <w:rsid w:val="2FA81D63"/>
    <w:rsid w:val="2FA96D96"/>
    <w:rsid w:val="2FC079E3"/>
    <w:rsid w:val="31533511"/>
    <w:rsid w:val="31EE3351"/>
    <w:rsid w:val="33F30418"/>
    <w:rsid w:val="341E4902"/>
    <w:rsid w:val="35627F21"/>
    <w:rsid w:val="36097198"/>
    <w:rsid w:val="36382D3C"/>
    <w:rsid w:val="36A6785A"/>
    <w:rsid w:val="384B733E"/>
    <w:rsid w:val="38994DCD"/>
    <w:rsid w:val="389E7FAC"/>
    <w:rsid w:val="3B857069"/>
    <w:rsid w:val="3BFB5377"/>
    <w:rsid w:val="3BFE5FFB"/>
    <w:rsid w:val="3E3B7C30"/>
    <w:rsid w:val="3E5E32CC"/>
    <w:rsid w:val="40CE02C9"/>
    <w:rsid w:val="412931DF"/>
    <w:rsid w:val="439D0660"/>
    <w:rsid w:val="43D76989"/>
    <w:rsid w:val="43F30CE9"/>
    <w:rsid w:val="460E4436"/>
    <w:rsid w:val="46EF1F8A"/>
    <w:rsid w:val="488C6941"/>
    <w:rsid w:val="48E24B59"/>
    <w:rsid w:val="4A3B05BB"/>
    <w:rsid w:val="4B4B6C29"/>
    <w:rsid w:val="4B664CAB"/>
    <w:rsid w:val="4C107DAA"/>
    <w:rsid w:val="4DB82F07"/>
    <w:rsid w:val="4DD76405"/>
    <w:rsid w:val="50F616B4"/>
    <w:rsid w:val="51514084"/>
    <w:rsid w:val="52CE7FBE"/>
    <w:rsid w:val="52D27CC5"/>
    <w:rsid w:val="54757EE7"/>
    <w:rsid w:val="54DF5386"/>
    <w:rsid w:val="55DD4575"/>
    <w:rsid w:val="560C0800"/>
    <w:rsid w:val="56314258"/>
    <w:rsid w:val="58307931"/>
    <w:rsid w:val="594E2EE5"/>
    <w:rsid w:val="5A8F1E77"/>
    <w:rsid w:val="5C48476A"/>
    <w:rsid w:val="5D526DC8"/>
    <w:rsid w:val="5E5C2B54"/>
    <w:rsid w:val="5EF3488E"/>
    <w:rsid w:val="615B46B9"/>
    <w:rsid w:val="62E71123"/>
    <w:rsid w:val="651359B7"/>
    <w:rsid w:val="659E715E"/>
    <w:rsid w:val="67546CA5"/>
    <w:rsid w:val="69847A87"/>
    <w:rsid w:val="6C6B2361"/>
    <w:rsid w:val="6D8B6CA7"/>
    <w:rsid w:val="6D9C0B43"/>
    <w:rsid w:val="71370930"/>
    <w:rsid w:val="71D90AFF"/>
    <w:rsid w:val="73387DAB"/>
    <w:rsid w:val="735820AB"/>
    <w:rsid w:val="74D53D04"/>
    <w:rsid w:val="758D154C"/>
    <w:rsid w:val="770044FF"/>
    <w:rsid w:val="777D42DA"/>
    <w:rsid w:val="778E5518"/>
    <w:rsid w:val="781C6FAD"/>
    <w:rsid w:val="79D623A6"/>
    <w:rsid w:val="7B222B48"/>
    <w:rsid w:val="7B3B2EC8"/>
    <w:rsid w:val="7D5A776B"/>
    <w:rsid w:val="7D5D1288"/>
    <w:rsid w:val="7DFF5597"/>
    <w:rsid w:val="7E4E6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3"/>
    <w:qFormat/>
    <w:uiPriority w:val="99"/>
    <w:pPr>
      <w:keepNext/>
      <w:widowControl/>
      <w:spacing w:before="240" w:after="60"/>
      <w:jc w:val="left"/>
      <w:outlineLvl w:val="1"/>
    </w:pPr>
    <w:rPr>
      <w:rFonts w:ascii="Cambria" w:hAnsi="Cambria" w:eastAsia="宋体" w:cs="Times New Roman"/>
      <w:b/>
      <w:bCs/>
      <w:i/>
      <w:iCs/>
      <w:kern w:val="0"/>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5">
    <w:name w:val="Body Text"/>
    <w:basedOn w:val="1"/>
    <w:link w:val="26"/>
    <w:qFormat/>
    <w:uiPriority w:val="99"/>
    <w:pPr>
      <w:widowControl/>
      <w:spacing w:after="120"/>
      <w:jc w:val="left"/>
    </w:pPr>
    <w:rPr>
      <w:kern w:val="0"/>
      <w:sz w:val="24"/>
      <w:szCs w:val="24"/>
      <w:lang w:eastAsia="en-US"/>
    </w:rPr>
  </w:style>
  <w:style w:type="paragraph" w:styleId="6">
    <w:name w:val="Body Text Indent"/>
    <w:basedOn w:val="1"/>
    <w:link w:val="30"/>
    <w:unhideWhenUsed/>
    <w:qFormat/>
    <w:uiPriority w:val="99"/>
    <w:pPr>
      <w:spacing w:after="120"/>
      <w:ind w:left="420" w:leftChars="200"/>
    </w:pPr>
  </w:style>
  <w:style w:type="paragraph" w:styleId="7">
    <w:name w:val="Plain Text"/>
    <w:basedOn w:val="1"/>
    <w:link w:val="33"/>
    <w:qFormat/>
    <w:uiPriority w:val="0"/>
    <w:rPr>
      <w:rFonts w:ascii="宋体" w:hAnsi="Courier New" w:eastAsia="宋体" w:cs="Times New Roman"/>
      <w:kern w:val="0"/>
      <w:sz w:val="20"/>
      <w:szCs w:val="21"/>
    </w:r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3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4">
    <w:name w:val="Body Text 2"/>
    <w:basedOn w:val="1"/>
    <w:link w:val="28"/>
    <w:qFormat/>
    <w:uiPriority w:val="99"/>
    <w:pPr>
      <w:widowControl/>
      <w:spacing w:after="120" w:line="480" w:lineRule="auto"/>
      <w:jc w:val="left"/>
    </w:pPr>
    <w:rPr>
      <w:kern w:val="0"/>
      <w:sz w:val="24"/>
      <w:szCs w:val="24"/>
      <w:lang w:eastAsia="en-US"/>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FollowedHyperlink"/>
    <w:basedOn w:val="17"/>
    <w:semiHidden/>
    <w:unhideWhenUsed/>
    <w:qFormat/>
    <w:uiPriority w:val="99"/>
    <w:rPr>
      <w:color w:val="333333"/>
      <w:u w:val="none"/>
    </w:rPr>
  </w:style>
  <w:style w:type="character" w:styleId="19">
    <w:name w:val="line number"/>
    <w:basedOn w:val="17"/>
    <w:unhideWhenUsed/>
    <w:qFormat/>
    <w:uiPriority w:val="99"/>
  </w:style>
  <w:style w:type="character" w:styleId="20">
    <w:name w:val="Hyperlink"/>
    <w:basedOn w:val="17"/>
    <w:qFormat/>
    <w:uiPriority w:val="99"/>
    <w:rPr>
      <w:color w:val="333333"/>
      <w:u w:val="none"/>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标题 2 字符"/>
    <w:basedOn w:val="17"/>
    <w:link w:val="3"/>
    <w:qFormat/>
    <w:uiPriority w:val="99"/>
    <w:rPr>
      <w:rFonts w:ascii="Cambria" w:hAnsi="Cambria" w:eastAsia="宋体" w:cs="Times New Roman"/>
      <w:b/>
      <w:bCs/>
      <w:i/>
      <w:iCs/>
      <w:kern w:val="0"/>
      <w:sz w:val="28"/>
      <w:szCs w:val="28"/>
    </w:rPr>
  </w:style>
  <w:style w:type="paragraph" w:customStyle="1" w:styleId="24">
    <w:name w:val="列出段落1"/>
    <w:basedOn w:val="1"/>
    <w:qFormat/>
    <w:uiPriority w:val="34"/>
    <w:pPr>
      <w:ind w:firstLine="420" w:firstLineChars="200"/>
    </w:pPr>
  </w:style>
  <w:style w:type="paragraph" w:customStyle="1" w:styleId="2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正文文本 字符"/>
    <w:link w:val="5"/>
    <w:qFormat/>
    <w:uiPriority w:val="99"/>
    <w:rPr>
      <w:kern w:val="0"/>
      <w:sz w:val="24"/>
      <w:szCs w:val="24"/>
      <w:lang w:eastAsia="en-US"/>
    </w:rPr>
  </w:style>
  <w:style w:type="character" w:customStyle="1" w:styleId="27">
    <w:name w:val="正文文本 Char1"/>
    <w:basedOn w:val="17"/>
    <w:semiHidden/>
    <w:qFormat/>
    <w:uiPriority w:val="99"/>
  </w:style>
  <w:style w:type="character" w:customStyle="1" w:styleId="28">
    <w:name w:val="正文文本 2 字符"/>
    <w:link w:val="14"/>
    <w:qFormat/>
    <w:uiPriority w:val="99"/>
    <w:rPr>
      <w:kern w:val="0"/>
      <w:sz w:val="24"/>
      <w:szCs w:val="24"/>
      <w:lang w:eastAsia="en-US"/>
    </w:rPr>
  </w:style>
  <w:style w:type="character" w:customStyle="1" w:styleId="29">
    <w:name w:val="正文文本 2 Char1"/>
    <w:basedOn w:val="17"/>
    <w:semiHidden/>
    <w:qFormat/>
    <w:uiPriority w:val="99"/>
  </w:style>
  <w:style w:type="character" w:customStyle="1" w:styleId="30">
    <w:name w:val="正文文本缩进 字符"/>
    <w:basedOn w:val="17"/>
    <w:link w:val="6"/>
    <w:semiHidden/>
    <w:qFormat/>
    <w:uiPriority w:val="99"/>
  </w:style>
  <w:style w:type="character" w:customStyle="1" w:styleId="31">
    <w:name w:val="批注框文本 字符"/>
    <w:basedOn w:val="17"/>
    <w:link w:val="9"/>
    <w:semiHidden/>
    <w:qFormat/>
    <w:uiPriority w:val="99"/>
    <w:rPr>
      <w:sz w:val="18"/>
      <w:szCs w:val="18"/>
    </w:rPr>
  </w:style>
  <w:style w:type="paragraph" w:styleId="32">
    <w:name w:val="List Paragraph"/>
    <w:basedOn w:val="1"/>
    <w:unhideWhenUsed/>
    <w:qFormat/>
    <w:uiPriority w:val="99"/>
    <w:pPr>
      <w:ind w:firstLine="420" w:firstLineChars="200"/>
    </w:pPr>
  </w:style>
  <w:style w:type="character" w:customStyle="1" w:styleId="33">
    <w:name w:val="纯文本 字符"/>
    <w:basedOn w:val="17"/>
    <w:link w:val="7"/>
    <w:qFormat/>
    <w:uiPriority w:val="0"/>
    <w:rPr>
      <w:rFonts w:ascii="宋体" w:hAnsi="Courier New" w:eastAsia="宋体" w:cs="Times New Roman"/>
      <w:szCs w:val="21"/>
    </w:rPr>
  </w:style>
  <w:style w:type="character" w:customStyle="1" w:styleId="34">
    <w:name w:val="layui-layer-tabnow"/>
    <w:basedOn w:val="17"/>
    <w:qFormat/>
    <w:uiPriority w:val="0"/>
    <w:rPr>
      <w:bdr w:val="single" w:color="CCCCCC" w:sz="6" w:space="0"/>
      <w:shd w:val="clear" w:color="auto" w:fill="FFFFFF"/>
    </w:rPr>
  </w:style>
  <w:style w:type="character" w:customStyle="1" w:styleId="35">
    <w:name w:val="first-child"/>
    <w:basedOn w:val="17"/>
    <w:qFormat/>
    <w:uiPriority w:val="0"/>
  </w:style>
  <w:style w:type="character" w:customStyle="1" w:styleId="36">
    <w:name w:val="layui-this"/>
    <w:basedOn w:val="17"/>
    <w:qFormat/>
    <w:uiPriority w:val="0"/>
    <w:rPr>
      <w:bdr w:val="single" w:color="EEEEEE" w:sz="6" w:space="0"/>
      <w:shd w:val="clear" w:color="auto" w:fill="FFFFFF"/>
    </w:rPr>
  </w:style>
  <w:style w:type="paragraph" w:customStyle="1" w:styleId="37">
    <w:name w:val="1"/>
    <w:basedOn w:val="1"/>
    <w:next w:val="8"/>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4424</Words>
  <Characters>4614</Characters>
  <Lines>24</Lines>
  <Paragraphs>6</Paragraphs>
  <TotalTime>34</TotalTime>
  <ScaleCrop>false</ScaleCrop>
  <LinksUpToDate>false</LinksUpToDate>
  <CharactersWithSpaces>4756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2024-08-15T08:16:00Z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F01EA790F41F425388FA72BC6EB013F7_12</vt:lpwstr>
  </property>
</Properties>
</file>