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BAD0">
      <w:pPr>
        <w:pStyle w:val="3"/>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5BFC515">
      <w:pPr>
        <w:pStyle w:val="3"/>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0152D00">
      <w:pPr>
        <w:pStyle w:val="3"/>
        <w:adjustRightInd w:val="0"/>
        <w:snapToGrid w:val="0"/>
        <w:spacing w:before="156" w:beforeLines="50"/>
        <w:rPr>
          <w:rFonts w:ascii="宋体" w:hAnsi="宋体"/>
          <w:b/>
          <w:lang w:eastAsia="zh-CN"/>
        </w:rPr>
      </w:pPr>
      <w:r>
        <w:rPr>
          <w:rFonts w:hint="eastAsia" w:ascii="宋体" w:hAnsi="宋体"/>
          <w:b/>
          <w:lang w:eastAsia="zh-CN"/>
        </w:rPr>
        <w:t>致：贵州国和酒业有限公司：</w:t>
      </w:r>
    </w:p>
    <w:p w14:paraId="7BEAD343">
      <w:pPr>
        <w:pStyle w:val="11"/>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23864FFF">
      <w:pPr>
        <w:pStyle w:val="12"/>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现申请参加名称贵州国和酒业有限公司持有基酒一批（2022年轮次基酒1吨）（以下简称“标的资产”）网络竞价活动，声明同意如下：</w:t>
      </w:r>
    </w:p>
    <w:p w14:paraId="7C2247F8">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0CDFE9E7">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0F0E1E4D">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4AB39528">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3AB1F615">
      <w:pPr>
        <w:pStyle w:val="21"/>
        <w:jc w:val="center"/>
        <w:rPr>
          <w:rFonts w:ascii="Tahoma" w:hAnsi="Tahoma" w:cs="Tahoma"/>
          <w:b/>
          <w:color w:val="000000"/>
          <w:sz w:val="32"/>
          <w:szCs w:val="32"/>
        </w:rPr>
      </w:pPr>
      <w:bookmarkStart w:id="1" w:name="_Toc487410356"/>
    </w:p>
    <w:p w14:paraId="33146F99">
      <w:pPr>
        <w:pStyle w:val="21"/>
        <w:jc w:val="center"/>
        <w:rPr>
          <w:rFonts w:ascii="Tahoma" w:hAnsi="Tahoma" w:cs="Tahoma"/>
          <w:b/>
          <w:color w:val="000000"/>
          <w:sz w:val="32"/>
          <w:szCs w:val="32"/>
        </w:rPr>
      </w:pPr>
    </w:p>
    <w:p w14:paraId="2AF4FFBA">
      <w:pPr>
        <w:pStyle w:val="21"/>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19848CDF">
      <w:pPr>
        <w:widowControl/>
        <w:numPr>
          <w:ilvl w:val="0"/>
          <w:numId w:val="0"/>
        </w:numPr>
        <w:spacing w:before="100" w:beforeAutospacing="1" w:after="100" w:afterAutospacing="1"/>
        <w:rPr>
          <w:rFonts w:ascii="宋体" w:hAnsi="宋体"/>
          <w:sz w:val="15"/>
          <w:szCs w:val="15"/>
        </w:rPr>
      </w:pPr>
      <w:r>
        <w:rPr>
          <w:rFonts w:hint="eastAsia" w:ascii="宋体" w:hAnsi="宋体"/>
          <w:sz w:val="15"/>
          <w:szCs w:val="15"/>
        </w:rPr>
        <w:t>本公司受委托人</w:t>
      </w:r>
      <w:r>
        <w:rPr>
          <w:rFonts w:hint="eastAsia" w:ascii="宋体" w:hAnsi="宋体" w:eastAsia="宋体" w:cs="Times New Roman"/>
          <w:sz w:val="15"/>
          <w:szCs w:val="15"/>
        </w:rPr>
        <w:t>:贵州国和酒业有限公司委托在</w:t>
      </w:r>
      <w:r>
        <w:rPr>
          <w:rFonts w:hint="eastAsia" w:ascii="宋体" w:hAnsi="宋体" w:eastAsia="宋体" w:cs="Times New Roman"/>
          <w:sz w:val="15"/>
          <w:szCs w:val="15"/>
        </w:rPr>
        <w:fldChar w:fldCharType="begin"/>
      </w:r>
      <w:r>
        <w:rPr>
          <w:rFonts w:hint="eastAsia" w:ascii="宋体" w:hAnsi="宋体" w:eastAsia="宋体" w:cs="Times New Roman"/>
          <w:sz w:val="15"/>
          <w:szCs w:val="15"/>
        </w:rPr>
        <w:instrText xml:space="preserve"> HYPERLINK "http://www.ppzxchina.cn" </w:instrText>
      </w:r>
      <w:r>
        <w:rPr>
          <w:rFonts w:hint="eastAsia" w:ascii="宋体" w:hAnsi="宋体" w:eastAsia="宋体" w:cs="Times New Roman"/>
          <w:sz w:val="15"/>
          <w:szCs w:val="15"/>
        </w:rPr>
        <w:fldChar w:fldCharType="separate"/>
      </w:r>
      <w:r>
        <w:rPr>
          <w:rFonts w:hint="eastAsia" w:ascii="宋体" w:hAnsi="宋体" w:eastAsia="宋体" w:cs="Times New Roman"/>
          <w:sz w:val="15"/>
          <w:szCs w:val="15"/>
        </w:rPr>
        <w:t>http://www.ppzxchina.cn</w:t>
      </w:r>
      <w:r>
        <w:rPr>
          <w:rFonts w:hint="eastAsia" w:ascii="宋体" w:hAnsi="宋体" w:eastAsia="宋体" w:cs="Times New Roman"/>
          <w:sz w:val="15"/>
          <w:szCs w:val="15"/>
        </w:rPr>
        <w:fldChar w:fldCharType="end"/>
      </w:r>
      <w:r>
        <w:rPr>
          <w:rFonts w:hint="eastAsia" w:ascii="宋体" w:hAnsi="宋体" w:eastAsia="宋体" w:cs="Times New Roman"/>
          <w:sz w:val="15"/>
          <w:szCs w:val="15"/>
        </w:rPr>
        <w:t>以网络竞价方式处置贵州国和酒业有限公司持有基酒一批</w:t>
      </w:r>
      <w:r>
        <w:rPr>
          <w:rFonts w:hint="eastAsia" w:ascii="宋体" w:hAnsi="宋体" w:eastAsia="宋体" w:cs="Times New Roman"/>
          <w:sz w:val="15"/>
          <w:szCs w:val="15"/>
          <w:lang w:eastAsia="zh-CN"/>
        </w:rPr>
        <w:t>（</w:t>
      </w:r>
      <w:r>
        <w:rPr>
          <w:rFonts w:hint="eastAsia" w:ascii="宋体" w:hAnsi="宋体" w:eastAsia="宋体" w:cs="Times New Roman"/>
          <w:sz w:val="15"/>
          <w:szCs w:val="15"/>
          <w:lang w:val="en-US" w:eastAsia="zh-CN"/>
        </w:rPr>
        <w:t>2022年轮次基酒1吨）</w:t>
      </w:r>
      <w:r>
        <w:rPr>
          <w:rFonts w:hint="eastAsia" w:ascii="宋体" w:hAnsi="宋体"/>
          <w:sz w:val="15"/>
          <w:szCs w:val="15"/>
        </w:rPr>
        <w:t xml:space="preserve">，为切实保障拍卖当事人的权利和义务，根据《中华人民共和国民法典》、《中华人民共和国拍卖法》、《中国人民共和国电子商务法》等法律法规，本着公开、公平、公正、诚实信用的原则，特制定本须知及规则，共同遵守。 </w:t>
      </w:r>
    </w:p>
    <w:p w14:paraId="7388E520">
      <w:pPr>
        <w:rPr>
          <w:rFonts w:hint="eastAsia" w:ascii="宋体" w:hAnsi="宋体"/>
          <w:sz w:val="15"/>
          <w:szCs w:val="15"/>
        </w:rPr>
      </w:pPr>
      <w:r>
        <w:rPr>
          <w:rFonts w:hint="eastAsia" w:ascii="宋体" w:hAnsi="宋体"/>
          <w:sz w:val="15"/>
          <w:szCs w:val="15"/>
        </w:rPr>
        <w:t>1、本次网络竞价活动在公开、平等竞争的条件下进行，一切活动都具备法律效力。</w:t>
      </w:r>
    </w:p>
    <w:p w14:paraId="2958D671">
      <w:pPr>
        <w:rPr>
          <w:rFonts w:ascii="宋体" w:hAnsi="宋体"/>
          <w:sz w:val="15"/>
          <w:szCs w:val="15"/>
        </w:rPr>
      </w:pPr>
      <w:r>
        <w:rPr>
          <w:rFonts w:hint="eastAsia" w:ascii="宋体" w:hAnsi="宋体"/>
          <w:sz w:val="15"/>
          <w:szCs w:val="15"/>
        </w:rPr>
        <w:t>2、竞买人条件：具备完全民事行为能力企业法人或自然人。</w:t>
      </w:r>
    </w:p>
    <w:p w14:paraId="6A2691C3">
      <w:pPr>
        <w:rPr>
          <w:rFonts w:hint="eastAsia" w:ascii="宋体" w:hAnsi="宋体" w:eastAsia="宋体" w:cs="Times New Roman"/>
          <w:kern w:val="2"/>
          <w:sz w:val="15"/>
          <w:szCs w:val="15"/>
          <w:lang w:val="en-US" w:eastAsia="zh-CN" w:bidi="ar-SA"/>
        </w:rPr>
      </w:pPr>
      <w:r>
        <w:rPr>
          <w:rFonts w:hint="eastAsia" w:ascii="宋体" w:hAnsi="宋体"/>
          <w:sz w:val="15"/>
          <w:szCs w:val="15"/>
          <w:lang w:val="en-US" w:eastAsia="zh-CN"/>
        </w:rPr>
        <w:t>3</w:t>
      </w:r>
      <w:r>
        <w:rPr>
          <w:rFonts w:hint="eastAsia" w:ascii="宋体" w:hAnsi="宋体"/>
          <w:sz w:val="15"/>
          <w:szCs w:val="15"/>
        </w:rPr>
        <w:t>、</w:t>
      </w:r>
      <w:r>
        <w:rPr>
          <w:rFonts w:hint="eastAsia" w:ascii="宋体" w:hAnsi="宋体" w:eastAsia="宋体" w:cs="Times New Roman"/>
          <w:kern w:val="2"/>
          <w:sz w:val="15"/>
          <w:szCs w:val="15"/>
          <w:lang w:val="en-US" w:eastAsia="zh-CN" w:bidi="ar-SA"/>
        </w:rPr>
        <w:t>意向竞买人在2024年9月28日12时前通过微信方式（微信号：13520313174）提出踏勘申请，收到拍拍在线（北京）拍卖有限公司回函后按规定的预展时间和要求进行现场踏勘。</w:t>
      </w:r>
    </w:p>
    <w:p w14:paraId="2059BF05">
      <w:pPr>
        <w:rPr>
          <w:rFonts w:hint="eastAsia" w:ascii="宋体" w:hAnsi="宋体"/>
          <w:sz w:val="15"/>
          <w:szCs w:val="15"/>
        </w:rPr>
      </w:pPr>
      <w:r>
        <w:rPr>
          <w:rFonts w:hint="eastAsia" w:ascii="宋体" w:hAnsi="宋体" w:eastAsia="宋体" w:cs="Times New Roman"/>
          <w:kern w:val="2"/>
          <w:sz w:val="15"/>
          <w:szCs w:val="15"/>
          <w:lang w:val="en-US" w:eastAsia="zh-CN" w:bidi="ar-SA"/>
        </w:rPr>
        <w:t>4、</w:t>
      </w:r>
      <w:r>
        <w:rPr>
          <w:rFonts w:hint="eastAsia" w:ascii="宋体" w:hAnsi="宋体"/>
          <w:sz w:val="15"/>
          <w:szCs w:val="15"/>
        </w:rPr>
        <w:t>意向竞买人报名参加竞买的，视为无异议，也即表明竞买人已全部了解约定，并愿意履行约定。委托人不作任何瑕疵担保及保证。</w:t>
      </w:r>
    </w:p>
    <w:p w14:paraId="04385B47">
      <w:pPr>
        <w:rPr>
          <w:rFonts w:hint="eastAsia" w:ascii="宋体" w:hAnsi="宋体" w:eastAsia="宋体"/>
          <w:sz w:val="15"/>
          <w:szCs w:val="15"/>
          <w:lang w:val="en-US" w:eastAsia="zh-CN"/>
        </w:rPr>
      </w:pPr>
      <w:r>
        <w:rPr>
          <w:rFonts w:hint="eastAsia" w:ascii="宋体" w:hAnsi="宋体"/>
          <w:sz w:val="15"/>
          <w:szCs w:val="15"/>
        </w:rPr>
        <w:t>5、意向竞买人在202</w:t>
      </w:r>
      <w:r>
        <w:rPr>
          <w:rFonts w:hint="eastAsia" w:ascii="宋体" w:hAnsi="宋体"/>
          <w:sz w:val="15"/>
          <w:szCs w:val="15"/>
          <w:lang w:val="en-US" w:eastAsia="zh-CN"/>
        </w:rPr>
        <w:t>4</w:t>
      </w:r>
      <w:r>
        <w:rPr>
          <w:rFonts w:hint="eastAsia" w:ascii="宋体" w:hAnsi="宋体"/>
          <w:sz w:val="15"/>
          <w:szCs w:val="15"/>
        </w:rPr>
        <w:t>年</w:t>
      </w:r>
      <w:r>
        <w:rPr>
          <w:rFonts w:hint="eastAsia" w:ascii="宋体" w:hAnsi="宋体"/>
          <w:sz w:val="15"/>
          <w:szCs w:val="15"/>
          <w:lang w:val="en-US" w:eastAsia="zh-CN"/>
        </w:rPr>
        <w:t>10</w:t>
      </w:r>
      <w:r>
        <w:rPr>
          <w:rFonts w:hint="eastAsia" w:ascii="宋体" w:hAnsi="宋体"/>
          <w:sz w:val="15"/>
          <w:szCs w:val="15"/>
        </w:rPr>
        <w:t>月</w:t>
      </w:r>
      <w:r>
        <w:rPr>
          <w:rFonts w:hint="eastAsia" w:ascii="宋体" w:hAnsi="宋体"/>
          <w:sz w:val="15"/>
          <w:szCs w:val="15"/>
          <w:lang w:val="en-US" w:eastAsia="zh-CN"/>
        </w:rPr>
        <w:t>8</w:t>
      </w:r>
      <w:r>
        <w:rPr>
          <w:rFonts w:hint="eastAsia" w:ascii="宋体" w:hAnsi="宋体"/>
          <w:sz w:val="15"/>
          <w:szCs w:val="15"/>
        </w:rPr>
        <w:t>日17时前完成：账号注册；上传真实有效审验通过相关要求资质证明，在相应竞价页面点击报名交保证金（已到账时间为准）；通过在线方式支付</w:t>
      </w:r>
      <w:r>
        <w:rPr>
          <w:rFonts w:hint="eastAsia" w:ascii="宋体" w:hAnsi="宋体"/>
          <w:sz w:val="15"/>
          <w:szCs w:val="15"/>
          <w:lang w:val="en-US" w:eastAsia="zh-CN"/>
        </w:rPr>
        <w:t>2</w:t>
      </w:r>
      <w:r>
        <w:rPr>
          <w:rFonts w:hint="eastAsia" w:ascii="宋体" w:hAnsi="宋体"/>
          <w:sz w:val="15"/>
          <w:szCs w:val="15"/>
        </w:rPr>
        <w:t>万元竞买保证金获得竞买资格。</w:t>
      </w:r>
    </w:p>
    <w:p w14:paraId="0024FE9E">
      <w:pPr>
        <w:rPr>
          <w:rFonts w:hint="eastAsia" w:ascii="宋体" w:hAnsi="宋体" w:eastAsia="宋体" w:cs="Times New Roman"/>
          <w:sz w:val="15"/>
          <w:szCs w:val="15"/>
        </w:rPr>
      </w:pPr>
      <w:r>
        <w:rPr>
          <w:rFonts w:hint="eastAsia" w:ascii="宋体" w:hAnsi="宋体"/>
          <w:sz w:val="15"/>
          <w:szCs w:val="15"/>
        </w:rPr>
        <w:t>6、在拍卖过程中以转</w:t>
      </w:r>
      <w:r>
        <w:rPr>
          <w:rFonts w:hint="eastAsia" w:ascii="宋体" w:hAnsi="宋体" w:eastAsia="宋体" w:cs="Times New Roman"/>
          <w:sz w:val="15"/>
          <w:szCs w:val="15"/>
        </w:rPr>
        <w:t>让底价为起始价格，各意向受让</w:t>
      </w:r>
      <w:r>
        <w:rPr>
          <w:rFonts w:hint="eastAsia" w:ascii="宋体" w:hAnsi="宋体" w:eastAsia="宋体" w:cs="Times New Roman"/>
          <w:sz w:val="15"/>
          <w:szCs w:val="15"/>
          <w:lang w:val="en-US" w:eastAsia="zh-CN"/>
        </w:rPr>
        <w:t>方</w:t>
      </w:r>
      <w:r>
        <w:rPr>
          <w:rFonts w:hint="eastAsia" w:ascii="宋体" w:hAnsi="宋体" w:eastAsia="宋体" w:cs="Times New Roman"/>
          <w:sz w:val="15"/>
          <w:szCs w:val="15"/>
        </w:rPr>
        <w:t>均不出价的，其交纳的</w:t>
      </w:r>
      <w:r>
        <w:rPr>
          <w:rFonts w:hint="eastAsia" w:ascii="宋体" w:hAnsi="宋体" w:eastAsia="宋体" w:cs="Times New Roman"/>
          <w:sz w:val="15"/>
          <w:szCs w:val="15"/>
          <w:lang w:val="en-US" w:eastAsia="zh-CN"/>
        </w:rPr>
        <w:t>竞买</w:t>
      </w:r>
      <w:r>
        <w:rPr>
          <w:rFonts w:hint="eastAsia" w:ascii="宋体" w:hAnsi="宋体" w:eastAsia="宋体" w:cs="Times New Roman"/>
          <w:sz w:val="15"/>
          <w:szCs w:val="15"/>
        </w:rPr>
        <w:t>保证</w:t>
      </w:r>
      <w:r>
        <w:rPr>
          <w:rFonts w:hint="eastAsia" w:ascii="宋体" w:hAnsi="宋体" w:eastAsia="宋体" w:cs="Times New Roman"/>
          <w:sz w:val="15"/>
          <w:szCs w:val="15"/>
          <w:lang w:val="en-US" w:eastAsia="zh-CN"/>
        </w:rPr>
        <w:t>金</w:t>
      </w:r>
      <w:r>
        <w:rPr>
          <w:rFonts w:hint="eastAsia" w:ascii="宋体" w:hAnsi="宋体" w:eastAsia="宋体" w:cs="Times New Roman"/>
          <w:sz w:val="15"/>
          <w:szCs w:val="15"/>
        </w:rPr>
        <w:t>不予退</w:t>
      </w:r>
      <w:r>
        <w:rPr>
          <w:rFonts w:hint="eastAsia" w:ascii="宋体" w:hAnsi="宋体"/>
          <w:sz w:val="15"/>
          <w:szCs w:val="15"/>
        </w:rPr>
        <w:t>还</w:t>
      </w:r>
      <w:r>
        <w:rPr>
          <w:rFonts w:hint="eastAsia" w:ascii="宋体" w:hAnsi="宋体"/>
          <w:sz w:val="15"/>
          <w:szCs w:val="15"/>
          <w:lang w:eastAsia="zh-CN"/>
        </w:rPr>
        <w:t>。</w:t>
      </w:r>
      <w:r>
        <w:rPr>
          <w:rFonts w:hint="eastAsia" w:ascii="宋体" w:hAnsi="宋体"/>
          <w:sz w:val="15"/>
          <w:szCs w:val="15"/>
        </w:rPr>
        <w:t>成交后，买受人支付</w:t>
      </w:r>
      <w:r>
        <w:rPr>
          <w:rFonts w:hint="eastAsia" w:ascii="宋体" w:hAnsi="宋体"/>
          <w:sz w:val="15"/>
          <w:szCs w:val="15"/>
          <w:lang w:val="en-US" w:eastAsia="zh-CN"/>
        </w:rPr>
        <w:t>2</w:t>
      </w:r>
      <w:r>
        <w:rPr>
          <w:rFonts w:hint="eastAsia" w:ascii="宋体" w:hAnsi="宋体"/>
          <w:sz w:val="15"/>
          <w:szCs w:val="15"/>
        </w:rPr>
        <w:t>万</w:t>
      </w:r>
      <w:r>
        <w:rPr>
          <w:rFonts w:hint="eastAsia" w:ascii="宋体" w:hAnsi="宋体"/>
          <w:sz w:val="15"/>
          <w:szCs w:val="15"/>
          <w:lang w:val="en-US" w:eastAsia="zh-CN"/>
        </w:rPr>
        <w:t>竞买</w:t>
      </w:r>
      <w:r>
        <w:rPr>
          <w:rFonts w:hint="eastAsia" w:ascii="宋体" w:hAnsi="宋体"/>
          <w:sz w:val="15"/>
          <w:szCs w:val="15"/>
        </w:rPr>
        <w:t>保证金，成交后</w:t>
      </w:r>
      <w:r>
        <w:rPr>
          <w:rFonts w:hint="eastAsia" w:ascii="宋体" w:hAnsi="宋体"/>
          <w:sz w:val="15"/>
          <w:szCs w:val="15"/>
          <w:lang w:val="en-US" w:eastAsia="zh-CN"/>
        </w:rPr>
        <w:t>2</w:t>
      </w:r>
      <w:r>
        <w:rPr>
          <w:rFonts w:hint="eastAsia" w:ascii="宋体" w:hAnsi="宋体"/>
          <w:sz w:val="15"/>
          <w:szCs w:val="15"/>
        </w:rPr>
        <w:t>万元</w:t>
      </w:r>
      <w:r>
        <w:rPr>
          <w:rFonts w:hint="eastAsia" w:ascii="宋体" w:hAnsi="宋体"/>
          <w:sz w:val="15"/>
          <w:szCs w:val="15"/>
          <w:lang w:val="en-US" w:eastAsia="zh-CN"/>
        </w:rPr>
        <w:t>竞买</w:t>
      </w:r>
      <w:r>
        <w:rPr>
          <w:rFonts w:hint="eastAsia" w:ascii="宋体" w:hAnsi="宋体"/>
          <w:sz w:val="15"/>
          <w:szCs w:val="15"/>
        </w:rPr>
        <w:t>保证金自动转为履约保证金，在买受人提取完标的后签署《移交确认</w:t>
      </w:r>
      <w:r>
        <w:rPr>
          <w:rFonts w:hint="eastAsia" w:ascii="宋体" w:hAnsi="宋体" w:eastAsia="宋体" w:cs="Times New Roman"/>
          <w:sz w:val="15"/>
          <w:szCs w:val="15"/>
        </w:rPr>
        <w:t>书》后返还。</w:t>
      </w:r>
    </w:p>
    <w:p w14:paraId="6B1098F0">
      <w:pPr>
        <w:rPr>
          <w:rFonts w:hint="eastAsia" w:ascii="宋体" w:hAnsi="宋体" w:eastAsia="宋体" w:cs="Times New Roman"/>
          <w:sz w:val="15"/>
          <w:szCs w:val="15"/>
          <w:lang w:val="en-US" w:eastAsia="zh-CN"/>
        </w:rPr>
      </w:pPr>
      <w:r>
        <w:rPr>
          <w:rFonts w:hint="eastAsia" w:ascii="宋体" w:hAnsi="宋体" w:eastAsia="宋体" w:cs="Times New Roman"/>
          <w:sz w:val="15"/>
          <w:szCs w:val="15"/>
          <w:lang w:val="en-US" w:eastAsia="zh-CN"/>
        </w:rPr>
        <w:t>7、竞价过程中，竞买人要认真严肃地进行报价并为自己的报价行为付相应的法律责任。</w:t>
      </w:r>
    </w:p>
    <w:p w14:paraId="3F017050">
      <w:pPr>
        <w:rPr>
          <w:rFonts w:hint="default" w:ascii="宋体" w:hAnsi="宋体" w:eastAsia="宋体" w:cs="Times New Roman"/>
          <w:sz w:val="15"/>
          <w:szCs w:val="15"/>
        </w:rPr>
      </w:pPr>
      <w:r>
        <w:rPr>
          <w:rFonts w:hint="eastAsia" w:ascii="宋体" w:hAnsi="宋体" w:eastAsia="宋体" w:cs="Times New Roman"/>
          <w:sz w:val="15"/>
          <w:szCs w:val="15"/>
          <w:lang w:val="en-US" w:eastAsia="zh-CN"/>
        </w:rPr>
        <w:t>8、</w:t>
      </w:r>
      <w:r>
        <w:rPr>
          <w:rFonts w:hint="default" w:ascii="宋体" w:hAnsi="宋体" w:eastAsia="宋体" w:cs="Times New Roman"/>
          <w:sz w:val="15"/>
          <w:szCs w:val="15"/>
          <w:lang w:val="en-US" w:eastAsia="zh-CN"/>
        </w:rPr>
        <w:t>出价活动分为两个竞价期，即自由竞价期和限时</w:t>
      </w:r>
      <w:bookmarkStart w:id="2" w:name="_GoBack"/>
      <w:bookmarkEnd w:id="2"/>
      <w:r>
        <w:rPr>
          <w:rFonts w:hint="default" w:ascii="宋体" w:hAnsi="宋体" w:eastAsia="宋体" w:cs="Times New Roman"/>
          <w:sz w:val="15"/>
          <w:szCs w:val="15"/>
          <w:lang w:val="en-US" w:eastAsia="zh-CN"/>
        </w:rPr>
        <w:t>竞价期。</w:t>
      </w:r>
    </w:p>
    <w:p w14:paraId="7754DD73">
      <w:pPr>
        <w:rPr>
          <w:rFonts w:hint="default" w:ascii="宋体" w:hAnsi="宋体" w:eastAsia="宋体" w:cs="Times New Roman"/>
          <w:sz w:val="15"/>
          <w:szCs w:val="15"/>
        </w:rPr>
      </w:pPr>
      <w:r>
        <w:rPr>
          <w:rFonts w:hint="default" w:ascii="宋体" w:hAnsi="宋体" w:eastAsia="宋体" w:cs="Times New Roman"/>
          <w:sz w:val="15"/>
          <w:szCs w:val="15"/>
          <w:lang w:val="en-US" w:eastAsia="zh-CN"/>
        </w:rPr>
        <w:t>（1）自由竞价期：自由竞价期自202</w:t>
      </w:r>
      <w:r>
        <w:rPr>
          <w:rFonts w:hint="eastAsia" w:ascii="宋体" w:hAnsi="宋体" w:eastAsia="宋体" w:cs="Times New Roman"/>
          <w:sz w:val="15"/>
          <w:szCs w:val="15"/>
          <w:lang w:val="en-US" w:eastAsia="zh-CN"/>
        </w:rPr>
        <w:t>4</w:t>
      </w:r>
      <w:r>
        <w:rPr>
          <w:rFonts w:hint="default" w:ascii="宋体" w:hAnsi="宋体" w:eastAsia="宋体" w:cs="Times New Roman"/>
          <w:sz w:val="15"/>
          <w:szCs w:val="15"/>
          <w:lang w:val="en-US" w:eastAsia="zh-CN"/>
        </w:rPr>
        <w:t>年</w:t>
      </w:r>
      <w:r>
        <w:rPr>
          <w:rFonts w:hint="eastAsia" w:ascii="宋体" w:hAnsi="宋体" w:eastAsia="宋体" w:cs="Times New Roman"/>
          <w:sz w:val="15"/>
          <w:szCs w:val="15"/>
          <w:lang w:val="en-US" w:eastAsia="zh-CN"/>
        </w:rPr>
        <w:t>10</w:t>
      </w:r>
      <w:r>
        <w:rPr>
          <w:rFonts w:hint="default" w:ascii="宋体" w:hAnsi="宋体" w:eastAsia="宋体" w:cs="Times New Roman"/>
          <w:sz w:val="15"/>
          <w:szCs w:val="15"/>
          <w:lang w:val="en-US" w:eastAsia="zh-CN"/>
        </w:rPr>
        <w:t>月</w:t>
      </w:r>
      <w:r>
        <w:rPr>
          <w:rFonts w:hint="eastAsia" w:ascii="宋体" w:hAnsi="宋体" w:eastAsia="宋体" w:cs="Times New Roman"/>
          <w:sz w:val="15"/>
          <w:szCs w:val="15"/>
          <w:lang w:val="en-US" w:eastAsia="zh-CN"/>
        </w:rPr>
        <w:t>9</w:t>
      </w:r>
      <w:r>
        <w:rPr>
          <w:rFonts w:hint="default" w:ascii="宋体" w:hAnsi="宋体" w:eastAsia="宋体" w:cs="Times New Roman"/>
          <w:sz w:val="15"/>
          <w:szCs w:val="15"/>
          <w:lang w:val="en-US" w:eastAsia="zh-CN"/>
        </w:rPr>
        <w:t>日9时</w:t>
      </w:r>
      <w:r>
        <w:rPr>
          <w:rFonts w:hint="eastAsia" w:ascii="宋体" w:hAnsi="宋体" w:eastAsia="宋体" w:cs="Times New Roman"/>
          <w:sz w:val="15"/>
          <w:szCs w:val="15"/>
          <w:lang w:val="en-US" w:eastAsia="zh-CN"/>
        </w:rPr>
        <w:t>3</w:t>
      </w:r>
      <w:r>
        <w:rPr>
          <w:rFonts w:hint="default" w:ascii="宋体" w:hAnsi="宋体" w:eastAsia="宋体" w:cs="Times New Roman"/>
          <w:sz w:val="15"/>
          <w:szCs w:val="15"/>
          <w:lang w:val="en-US" w:eastAsia="zh-CN"/>
        </w:rPr>
        <w:t>0分整至202</w:t>
      </w:r>
      <w:r>
        <w:rPr>
          <w:rFonts w:hint="eastAsia" w:ascii="宋体" w:hAnsi="宋体" w:eastAsia="宋体" w:cs="Times New Roman"/>
          <w:sz w:val="15"/>
          <w:szCs w:val="15"/>
          <w:lang w:val="en-US" w:eastAsia="zh-CN"/>
        </w:rPr>
        <w:t>4</w:t>
      </w:r>
      <w:r>
        <w:rPr>
          <w:rFonts w:hint="default" w:ascii="宋体" w:hAnsi="宋体" w:eastAsia="宋体" w:cs="Times New Roman"/>
          <w:sz w:val="15"/>
          <w:szCs w:val="15"/>
          <w:lang w:val="en-US" w:eastAsia="zh-CN"/>
        </w:rPr>
        <w:t>年</w:t>
      </w:r>
      <w:r>
        <w:rPr>
          <w:rFonts w:hint="eastAsia" w:ascii="宋体" w:hAnsi="宋体" w:eastAsia="宋体" w:cs="Times New Roman"/>
          <w:sz w:val="15"/>
          <w:szCs w:val="15"/>
          <w:lang w:val="en-US" w:eastAsia="zh-CN"/>
        </w:rPr>
        <w:t>10</w:t>
      </w:r>
      <w:r>
        <w:rPr>
          <w:rFonts w:hint="default" w:ascii="宋体" w:hAnsi="宋体" w:eastAsia="宋体" w:cs="Times New Roman"/>
          <w:sz w:val="15"/>
          <w:szCs w:val="15"/>
          <w:lang w:val="en-US" w:eastAsia="zh-CN"/>
        </w:rPr>
        <w:t>月</w:t>
      </w:r>
      <w:r>
        <w:rPr>
          <w:rFonts w:hint="eastAsia" w:ascii="宋体" w:hAnsi="宋体" w:eastAsia="宋体" w:cs="Times New Roman"/>
          <w:sz w:val="15"/>
          <w:szCs w:val="15"/>
          <w:lang w:val="en-US" w:eastAsia="zh-CN"/>
        </w:rPr>
        <w:t>9</w:t>
      </w:r>
      <w:r>
        <w:rPr>
          <w:rFonts w:hint="default" w:ascii="宋体" w:hAnsi="宋体" w:eastAsia="宋体" w:cs="Times New Roman"/>
          <w:sz w:val="15"/>
          <w:szCs w:val="15"/>
          <w:lang w:val="en-US" w:eastAsia="zh-CN"/>
        </w:rPr>
        <w:t>日10时00分整。在此期间，竞买人按照规定的加价规则进行有效报价。</w:t>
      </w:r>
    </w:p>
    <w:p w14:paraId="4872EE5E">
      <w:pPr>
        <w:rPr>
          <w:rFonts w:hint="default" w:ascii="宋体" w:hAnsi="宋体" w:eastAsia="宋体" w:cs="Times New Roman"/>
          <w:sz w:val="15"/>
          <w:szCs w:val="15"/>
        </w:rPr>
      </w:pPr>
      <w:r>
        <w:rPr>
          <w:rFonts w:hint="default" w:ascii="宋体" w:hAnsi="宋体" w:eastAsia="宋体" w:cs="Times New Roman"/>
          <w:sz w:val="15"/>
          <w:szCs w:val="15"/>
          <w:lang w:val="en-US" w:eastAsia="zh-CN"/>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6CD2A04F">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9、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14:paraId="237E8C6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10、交易服务费按成交价的5%支付，交易服务费及全部成交价款在标的成交后3个工作日，通过自身账户支付至拍拍在线（北京）拍卖有限公司（以成交后短信通知的账户为准）。</w:t>
      </w:r>
    </w:p>
    <w:p w14:paraId="220B4379">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11、竞价结束后，未竞买成功的竞买人的保证金在竞价结束后自动自动解冻，可用于参与其他项目或申请退还至竞买人自身对公账户，个人账户中可用余额在提出申请后10个工作日内无息返还；买受人交纳的保证金冻结转为履约保证金的，在标的按照规定移交完毕后1个工作日将2万元履约保证金解冻退还至买受人自身对公账户。</w:t>
      </w:r>
    </w:p>
    <w:p w14:paraId="7A6CA4D0">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12、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14:paraId="3E6ADAD9">
      <w:pP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13.</w:t>
      </w:r>
      <w:r>
        <w:rPr>
          <w:rFonts w:hint="default" w:ascii="Times New Roman" w:hAnsi="Times New Roman" w:eastAsia="宋体" w:cs="Times New Roman"/>
          <w:sz w:val="15"/>
          <w:szCs w:val="15"/>
          <w:lang w:val="en-US" w:eastAsia="zh-CN"/>
        </w:rPr>
        <w:t>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报价记录可以恢复的，以中断时的最高有效报价为起始价继续报价；报价记录无法恢复的，以起拍价为起始价重新报价。继续报价或重新报价时将从自由竞价期开始。</w:t>
      </w:r>
    </w:p>
    <w:p w14:paraId="4E3C1835">
      <w:pP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1</w:t>
      </w:r>
      <w:r>
        <w:rPr>
          <w:rFonts w:hint="eastAsia" w:ascii="Times New Roman" w:hAnsi="Times New Roman" w:eastAsia="宋体" w:cs="Times New Roman"/>
          <w:sz w:val="15"/>
          <w:szCs w:val="15"/>
          <w:lang w:val="en-US" w:eastAsia="zh-CN"/>
        </w:rPr>
        <w:t>4、</w:t>
      </w:r>
      <w:r>
        <w:rPr>
          <w:rFonts w:hint="default" w:ascii="Times New Roman" w:hAnsi="Times New Roman" w:eastAsia="宋体" w:cs="Times New Roman"/>
          <w:sz w:val="15"/>
          <w:szCs w:val="15"/>
          <w:lang w:val="en-US" w:eastAsia="zh-CN"/>
        </w:rPr>
        <w:t>本规则未尽事宜，按照《中华人民共和国拍卖法》等相关法律法规办理。</w:t>
      </w:r>
    </w:p>
    <w:p w14:paraId="2E9C6B3C">
      <w:pPr>
        <w:rPr>
          <w:rFonts w:hint="eastAsia" w:ascii="宋体" w:hAnsi="宋体"/>
          <w:sz w:val="15"/>
          <w:szCs w:val="15"/>
        </w:rPr>
      </w:pPr>
    </w:p>
    <w:p w14:paraId="621E8903">
      <w:pPr>
        <w:pStyle w:val="21"/>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4361978B">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1、标的资产年限、品质、数量均以现场踏勘实物展示为准，委托人对该标的资产存在的瑕疵已履行告知义务，竞买人应自行充分考虑竞得标的资产所承担的所有风险。本公司及委托方均不承担瑕疵担保责任。</w:t>
      </w:r>
    </w:p>
    <w:p w14:paraId="554B2CA8">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34B1F8AA">
      <w:pPr>
        <w:ind w:left="210" w:leftChars="100" w:firstLine="150" w:firstLineChars="100"/>
        <w:rPr>
          <w:rFonts w:hint="eastAsia" w:ascii="宋体" w:hAnsi="宋体"/>
          <w:sz w:val="15"/>
          <w:szCs w:val="15"/>
          <w:lang w:val="en-US" w:eastAsia="zh-CN"/>
        </w:rPr>
      </w:pPr>
      <w:r>
        <w:rPr>
          <w:rFonts w:hint="eastAsia" w:ascii="宋体" w:hAnsi="宋体"/>
          <w:sz w:val="15"/>
          <w:szCs w:val="15"/>
          <w:lang w:val="en-US" w:eastAsia="zh-CN"/>
        </w:rPr>
        <w:t>3、竞买人报名时需上传双方盖章签字的有效《现场踏勘确认书》、《竞买文件》。</w:t>
      </w:r>
    </w:p>
    <w:p w14:paraId="6B1C8B73">
      <w:pPr>
        <w:ind w:left="210" w:leftChars="100" w:firstLine="240" w:firstLineChars="100"/>
        <w:rPr>
          <w:rFonts w:ascii="宋体" w:hAnsi="宋体"/>
          <w:sz w:val="24"/>
          <w:szCs w:val="24"/>
        </w:rPr>
      </w:pPr>
    </w:p>
    <w:p w14:paraId="23A7C12A">
      <w:pPr>
        <w:ind w:left="210" w:leftChars="100" w:firstLine="240" w:firstLineChars="100"/>
        <w:jc w:val="center"/>
        <w:rPr>
          <w:rFonts w:hint="eastAsia" w:ascii="宋体" w:hAnsi="宋体"/>
          <w:b/>
          <w:bCs/>
          <w:sz w:val="24"/>
          <w:szCs w:val="24"/>
        </w:rPr>
      </w:pPr>
      <w:r>
        <w:rPr>
          <w:rFonts w:hint="eastAsia" w:ascii="宋体" w:hAnsi="宋体"/>
          <w:b/>
          <w:bCs/>
          <w:sz w:val="24"/>
          <w:szCs w:val="24"/>
        </w:rPr>
        <w:t>标的资产</w:t>
      </w:r>
    </w:p>
    <w:p w14:paraId="6F96697B">
      <w:pPr>
        <w:ind w:left="210" w:leftChars="100" w:firstLine="240" w:firstLineChars="100"/>
        <w:rPr>
          <w:rFonts w:hint="eastAsia" w:ascii="宋体" w:hAnsi="宋体"/>
          <w:sz w:val="24"/>
          <w:szCs w:val="24"/>
        </w:rPr>
      </w:pPr>
    </w:p>
    <w:p w14:paraId="244C0A09">
      <w:pPr>
        <w:pStyle w:val="21"/>
        <w:ind w:firstLine="480" w:firstLineChars="200"/>
        <w:rPr>
          <w:rFonts w:hint="eastAsia" w:ascii="宋体" w:hAnsi="宋体"/>
          <w:sz w:val="24"/>
          <w:szCs w:val="24"/>
          <w:lang w:eastAsia="zh-CN"/>
        </w:rPr>
      </w:pPr>
      <w:r>
        <w:rPr>
          <w:rFonts w:hint="eastAsia" w:ascii="宋体" w:hAnsi="宋体"/>
          <w:sz w:val="24"/>
          <w:szCs w:val="24"/>
          <w:lang w:eastAsia="zh-CN"/>
        </w:rPr>
        <w:t>标的名称：贵州国和酒业有限公司持有基酒一批（2022年轮次基酒1吨）</w:t>
      </w:r>
    </w:p>
    <w:p w14:paraId="042A9DEE">
      <w:pPr>
        <w:pStyle w:val="21"/>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51968D7F">
      <w:pPr>
        <w:pStyle w:val="21"/>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50AFB307">
      <w:pPr>
        <w:pStyle w:val="21"/>
        <w:ind w:firstLine="480" w:firstLineChars="200"/>
        <w:rPr>
          <w:rFonts w:hint="eastAsia" w:ascii="宋体" w:hAnsi="宋体"/>
          <w:sz w:val="24"/>
          <w:szCs w:val="24"/>
          <w:lang w:eastAsia="zh-CN"/>
        </w:rPr>
      </w:pPr>
      <w:r>
        <w:rPr>
          <w:rFonts w:hint="eastAsia" w:ascii="宋体" w:hAnsi="宋体"/>
          <w:sz w:val="24"/>
          <w:szCs w:val="24"/>
          <w:lang w:eastAsia="zh-CN"/>
        </w:rPr>
        <w:t>起拍价格：100000元</w:t>
      </w:r>
    </w:p>
    <w:p w14:paraId="015A2978">
      <w:pPr>
        <w:pStyle w:val="21"/>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596D587D">
      <w:pPr>
        <w:pStyle w:val="21"/>
        <w:ind w:firstLine="480" w:firstLineChars="200"/>
        <w:rPr>
          <w:rFonts w:hint="eastAsia" w:ascii="宋体" w:hAnsi="宋体"/>
          <w:sz w:val="24"/>
          <w:szCs w:val="24"/>
          <w:lang w:eastAsia="zh-CN"/>
        </w:rPr>
      </w:pPr>
      <w:r>
        <w:rPr>
          <w:rFonts w:hint="eastAsia" w:ascii="宋体" w:hAnsi="宋体"/>
          <w:sz w:val="24"/>
          <w:szCs w:val="24"/>
          <w:lang w:eastAsia="zh-CN"/>
        </w:rPr>
        <w:t>增加幅度：500元</w:t>
      </w:r>
    </w:p>
    <w:p w14:paraId="3DFE575E">
      <w:pPr>
        <w:pStyle w:val="21"/>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503C1D55">
      <w:pPr>
        <w:pStyle w:val="21"/>
        <w:ind w:firstLine="480" w:firstLineChars="200"/>
        <w:rPr>
          <w:rFonts w:hint="eastAsia" w:ascii="宋体" w:hAnsi="宋体"/>
          <w:sz w:val="24"/>
          <w:szCs w:val="24"/>
        </w:rPr>
      </w:pPr>
    </w:p>
    <w:p w14:paraId="68C1E454">
      <w:pPr>
        <w:pStyle w:val="21"/>
        <w:ind w:firstLine="480" w:firstLineChars="200"/>
        <w:rPr>
          <w:b/>
          <w:bCs/>
          <w:sz w:val="24"/>
          <w:szCs w:val="24"/>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p w14:paraId="2FCC2E6B">
      <w:pPr>
        <w:tabs>
          <w:tab w:val="left" w:pos="630"/>
        </w:tabs>
        <w:rPr>
          <w:sz w:val="28"/>
          <w:szCs w:val="28"/>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8D84">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JlNmFkOWQ5YTgxZTJiODFlNzVjZDg3YWY2NTA0NjM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0B673A05"/>
    <w:rsid w:val="130E493C"/>
    <w:rsid w:val="13780452"/>
    <w:rsid w:val="20686DF8"/>
    <w:rsid w:val="20D30683"/>
    <w:rsid w:val="32DF3FE8"/>
    <w:rsid w:val="3FAE115C"/>
    <w:rsid w:val="44AF2919"/>
    <w:rsid w:val="460E4436"/>
    <w:rsid w:val="47F30C36"/>
    <w:rsid w:val="486A56DB"/>
    <w:rsid w:val="4F502160"/>
    <w:rsid w:val="55716C5C"/>
    <w:rsid w:val="55A3228E"/>
    <w:rsid w:val="590A53FF"/>
    <w:rsid w:val="5C5B6749"/>
    <w:rsid w:val="67FE3707"/>
    <w:rsid w:val="6A64150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99"/>
    <w:pPr>
      <w:widowControl/>
      <w:spacing w:after="120"/>
      <w:jc w:val="left"/>
    </w:pPr>
    <w:rPr>
      <w:kern w:val="0"/>
      <w:sz w:val="24"/>
      <w:szCs w:val="24"/>
      <w:lang w:eastAsia="en-US"/>
    </w:rPr>
  </w:style>
  <w:style w:type="paragraph" w:styleId="4">
    <w:name w:val="Body Text Indent"/>
    <w:basedOn w:val="1"/>
    <w:link w:val="27"/>
    <w:unhideWhenUsed/>
    <w:qFormat/>
    <w:uiPriority w:val="99"/>
    <w:pPr>
      <w:spacing w:after="120"/>
      <w:ind w:left="420" w:leftChars="200"/>
    </w:pPr>
  </w:style>
  <w:style w:type="paragraph" w:styleId="5">
    <w:name w:val="Plain Text"/>
    <w:basedOn w:val="1"/>
    <w:link w:val="30"/>
    <w:qFormat/>
    <w:uiPriority w:val="0"/>
    <w:rPr>
      <w:rFonts w:ascii="宋体" w:hAnsi="Courier New" w:eastAsia="宋体" w:cs="Times New Roman"/>
      <w:kern w:val="0"/>
      <w:sz w:val="20"/>
      <w:szCs w:val="21"/>
    </w:rPr>
  </w:style>
  <w:style w:type="paragraph" w:styleId="6">
    <w:name w:val="Balloon Text"/>
    <w:basedOn w:val="1"/>
    <w:link w:val="2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1">
    <w:name w:val="Body Text 2"/>
    <w:basedOn w:val="1"/>
    <w:link w:val="24"/>
    <w:qFormat/>
    <w:uiPriority w:val="99"/>
    <w:pPr>
      <w:widowControl/>
      <w:spacing w:after="120" w:line="480" w:lineRule="auto"/>
      <w:jc w:val="left"/>
    </w:pPr>
    <w:rPr>
      <w:kern w:val="0"/>
      <w:sz w:val="24"/>
      <w:szCs w:val="24"/>
      <w:lang w:eastAsia="en-US"/>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line number"/>
    <w:basedOn w:val="14"/>
    <w:unhideWhenUsed/>
    <w:qFormat/>
    <w:uiPriority w:val="99"/>
  </w:style>
  <w:style w:type="character" w:styleId="17">
    <w:name w:val="Hyperlink"/>
    <w:qFormat/>
    <w:uiPriority w:val="99"/>
    <w:rPr>
      <w:color w:val="0000FF"/>
      <w:u w:val="single"/>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paragraph" w:customStyle="1" w:styleId="20">
    <w:name w:val="列出段落1"/>
    <w:basedOn w:val="1"/>
    <w:qFormat/>
    <w:uiPriority w:val="34"/>
    <w:pPr>
      <w:ind w:firstLine="420" w:firstLineChars="200"/>
    </w:pPr>
  </w:style>
  <w:style w:type="paragraph" w:customStyle="1" w:styleId="2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正文文本 字符"/>
    <w:link w:val="3"/>
    <w:qFormat/>
    <w:uiPriority w:val="99"/>
    <w:rPr>
      <w:kern w:val="0"/>
      <w:sz w:val="24"/>
      <w:szCs w:val="24"/>
      <w:lang w:eastAsia="en-US"/>
    </w:rPr>
  </w:style>
  <w:style w:type="character" w:customStyle="1" w:styleId="23">
    <w:name w:val="正文文本 Char1"/>
    <w:basedOn w:val="14"/>
    <w:semiHidden/>
    <w:qFormat/>
    <w:uiPriority w:val="99"/>
  </w:style>
  <w:style w:type="character" w:customStyle="1" w:styleId="24">
    <w:name w:val="正文文本 2 字符"/>
    <w:link w:val="11"/>
    <w:qFormat/>
    <w:uiPriority w:val="99"/>
    <w:rPr>
      <w:kern w:val="0"/>
      <w:sz w:val="24"/>
      <w:szCs w:val="24"/>
      <w:lang w:eastAsia="en-US"/>
    </w:rPr>
  </w:style>
  <w:style w:type="character" w:customStyle="1" w:styleId="25">
    <w:name w:val="正文文本 2 Char1"/>
    <w:basedOn w:val="14"/>
    <w:semiHidden/>
    <w:qFormat/>
    <w:uiPriority w:val="99"/>
  </w:style>
  <w:style w:type="character" w:customStyle="1" w:styleId="26">
    <w:name w:val="标题 2 字符"/>
    <w:basedOn w:val="14"/>
    <w:link w:val="2"/>
    <w:qFormat/>
    <w:uiPriority w:val="99"/>
    <w:rPr>
      <w:rFonts w:ascii="Cambria" w:hAnsi="Cambria" w:eastAsia="宋体" w:cs="Times New Roman"/>
      <w:b/>
      <w:bCs/>
      <w:i/>
      <w:iCs/>
      <w:kern w:val="0"/>
      <w:sz w:val="28"/>
      <w:szCs w:val="28"/>
    </w:rPr>
  </w:style>
  <w:style w:type="character" w:customStyle="1" w:styleId="27">
    <w:name w:val="正文文本缩进 字符"/>
    <w:basedOn w:val="14"/>
    <w:link w:val="4"/>
    <w:semiHidden/>
    <w:qFormat/>
    <w:uiPriority w:val="99"/>
  </w:style>
  <w:style w:type="character" w:customStyle="1" w:styleId="28">
    <w:name w:val="批注框文本 字符"/>
    <w:basedOn w:val="14"/>
    <w:link w:val="6"/>
    <w:semiHidden/>
    <w:qFormat/>
    <w:uiPriority w:val="99"/>
    <w:rPr>
      <w:sz w:val="18"/>
      <w:szCs w:val="18"/>
    </w:rPr>
  </w:style>
  <w:style w:type="paragraph" w:styleId="29">
    <w:name w:val="List Paragraph"/>
    <w:basedOn w:val="1"/>
    <w:unhideWhenUsed/>
    <w:qFormat/>
    <w:uiPriority w:val="99"/>
    <w:pPr>
      <w:ind w:firstLine="420" w:firstLineChars="200"/>
    </w:pPr>
  </w:style>
  <w:style w:type="character" w:customStyle="1" w:styleId="30">
    <w:name w:val="纯文本 字符"/>
    <w:basedOn w:val="14"/>
    <w:link w:val="5"/>
    <w:qFormat/>
    <w:uiPriority w:val="0"/>
    <w:rPr>
      <w:rFonts w:ascii="宋体" w:hAnsi="Courier New" w:eastAsia="宋体" w:cs="Times New Roman"/>
      <w:szCs w:val="21"/>
    </w:rPr>
  </w:style>
  <w:style w:type="paragraph" w:customStyle="1" w:styleId="31">
    <w:name w:val="彩色列表1"/>
    <w:basedOn w:val="1"/>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2377</Words>
  <Characters>2471</Characters>
  <Lines>17</Lines>
  <Paragraphs>5</Paragraphs>
  <TotalTime>1</TotalTime>
  <ScaleCrop>false</ScaleCrop>
  <LinksUpToDate>false</LinksUpToDate>
  <CharactersWithSpaces>2472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8237476879</cp:lastModifiedBy>
  <cp:lastPrinted>2022-06-29T09:41:00Z</cp:lastPrinted>
  <dcterms:modified xsi:type="dcterms:W3CDTF">2024-09-24T03:14:00Z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A911030420BF43CF91F35589E11D8348</vt:lpwstr>
  </property>
</Properties>
</file>