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C8E4">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4433171E">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48BC1BF">
      <w:pPr>
        <w:pStyle w:val="5"/>
        <w:widowControl/>
        <w:shd w:val="clear" w:color="auto" w:fill="FFFFFF"/>
        <w:spacing w:beforeAutospacing="0" w:afterAutospacing="0"/>
        <w:ind w:firstLine="360"/>
        <w:rPr>
          <w:rFonts w:hint="default" w:ascii="宋体" w:hAnsi="宋体" w:eastAsia="宋体"/>
          <w:bCs/>
          <w:sz w:val="24"/>
          <w:szCs w:val="24"/>
        </w:rPr>
      </w:pPr>
      <w:r>
        <w:rPr>
          <w:rFonts w:ascii="宋体" w:hAnsi="宋体" w:eastAsia="宋体"/>
        </w:rPr>
        <w:t>二、竞买人必须</w:t>
      </w:r>
      <w:r>
        <w:rPr>
          <w:rFonts w:hint="eastAsia" w:ascii="宋体" w:hAnsi="宋体" w:eastAsia="宋体"/>
        </w:rPr>
        <w:t>遵守本拍卖规则、网络拍卖须知及拍拍在线平台公开发布的相关</w:t>
      </w:r>
      <w:r>
        <w:rPr>
          <w:rFonts w:hint="eastAsia" w:ascii="宋体" w:hAnsi="宋体" w:eastAsia="宋体"/>
          <w:bCs/>
          <w:sz w:val="24"/>
          <w:szCs w:val="24"/>
        </w:rPr>
        <w:t>规则。</w:t>
      </w:r>
    </w:p>
    <w:p w14:paraId="238955B9">
      <w:pPr>
        <w:pStyle w:val="5"/>
        <w:widowControl/>
        <w:shd w:val="clear" w:color="auto" w:fill="FFFFFF"/>
        <w:spacing w:beforeAutospacing="0" w:afterAutospacing="0"/>
        <w:ind w:firstLine="360"/>
        <w:rPr>
          <w:rFonts w:hint="default" w:ascii="宋体" w:hAnsi="宋体" w:eastAsia="宋体"/>
          <w:bCs/>
          <w:sz w:val="24"/>
          <w:szCs w:val="24"/>
        </w:rPr>
      </w:pPr>
      <w:r>
        <w:rPr>
          <w:rFonts w:hint="eastAsia" w:ascii="宋体" w:hAnsi="宋体" w:eastAsia="宋体"/>
          <w:bCs/>
          <w:sz w:val="24"/>
          <w:szCs w:val="24"/>
        </w:rPr>
        <w:t>三、</w:t>
      </w:r>
      <w:r>
        <w:rPr>
          <w:rFonts w:hint="default" w:ascii="宋体" w:hAnsi="宋体" w:eastAsia="宋体"/>
          <w:bCs/>
          <w:sz w:val="24"/>
          <w:szCs w:val="24"/>
        </w:rPr>
        <w:t>中国石油天然气股份有限公司长庆油田分公司第七采油厂拟处置部分废旧物资（254项）</w:t>
      </w:r>
      <w:r>
        <w:rPr>
          <w:rFonts w:hint="eastAsia" w:ascii="宋体" w:hAnsi="宋体" w:eastAsia="宋体"/>
          <w:bCs/>
          <w:sz w:val="24"/>
          <w:szCs w:val="24"/>
        </w:rPr>
        <w:t>。</w:t>
      </w:r>
    </w:p>
    <w:p w14:paraId="2B38B78B">
      <w:pPr>
        <w:pStyle w:val="5"/>
        <w:widowControl/>
        <w:shd w:val="clear" w:color="auto" w:fill="FFFFFF"/>
        <w:spacing w:beforeAutospacing="0" w:afterAutospacing="0"/>
        <w:ind w:firstLine="360"/>
        <w:rPr>
          <w:rFonts w:hint="default" w:ascii="宋体" w:hAnsi="宋体" w:eastAsia="宋体"/>
          <w:bCs/>
          <w:sz w:val="24"/>
          <w:szCs w:val="24"/>
        </w:rPr>
      </w:pPr>
      <w:r>
        <w:rPr>
          <w:rFonts w:hint="eastAsia" w:ascii="宋体" w:hAnsi="宋体" w:eastAsia="宋体"/>
          <w:bCs/>
          <w:sz w:val="24"/>
          <w:szCs w:val="24"/>
        </w:rPr>
        <w:t>四、本拍卖标的已于</w:t>
      </w:r>
      <w:bookmarkStart w:id="0" w:name="_Hlk141769949"/>
      <w:r>
        <w:rPr>
          <w:rFonts w:hint="default" w:ascii="宋体" w:hAnsi="宋体" w:eastAsia="宋体"/>
          <w:bCs/>
          <w:sz w:val="24"/>
          <w:szCs w:val="24"/>
        </w:rPr>
        <w:t>202</w:t>
      </w:r>
      <w:r>
        <w:rPr>
          <w:rFonts w:hint="eastAsia" w:ascii="宋体" w:hAnsi="宋体" w:eastAsia="宋体"/>
          <w:bCs/>
          <w:sz w:val="24"/>
          <w:szCs w:val="24"/>
          <w:lang w:val="en-US" w:eastAsia="zh-CN"/>
        </w:rPr>
        <w:t>4</w:t>
      </w:r>
      <w:r>
        <w:rPr>
          <w:rFonts w:hint="default" w:ascii="宋体" w:hAnsi="宋体" w:eastAsia="宋体"/>
          <w:bCs/>
          <w:sz w:val="24"/>
          <w:szCs w:val="24"/>
        </w:rPr>
        <w:t>年</w:t>
      </w:r>
      <w:r>
        <w:rPr>
          <w:rFonts w:hint="eastAsia" w:ascii="宋体" w:hAnsi="宋体" w:eastAsia="宋体"/>
          <w:bCs/>
          <w:sz w:val="24"/>
          <w:szCs w:val="24"/>
          <w:lang w:val="en-US" w:eastAsia="zh-CN"/>
        </w:rPr>
        <w:t>9</w:t>
      </w:r>
      <w:r>
        <w:rPr>
          <w:rFonts w:hint="default" w:ascii="宋体" w:hAnsi="宋体" w:eastAsia="宋体"/>
          <w:bCs/>
          <w:sz w:val="24"/>
          <w:szCs w:val="24"/>
        </w:rPr>
        <w:t>月</w:t>
      </w:r>
      <w:r>
        <w:rPr>
          <w:rFonts w:hint="eastAsia" w:ascii="宋体" w:hAnsi="宋体" w:eastAsia="宋体"/>
          <w:bCs/>
          <w:sz w:val="24"/>
          <w:szCs w:val="24"/>
          <w:lang w:val="en-US" w:eastAsia="zh-CN"/>
        </w:rPr>
        <w:t>30</w:t>
      </w:r>
      <w:r>
        <w:rPr>
          <w:rFonts w:hint="default" w:ascii="宋体" w:hAnsi="宋体" w:eastAsia="宋体"/>
          <w:bCs/>
          <w:sz w:val="24"/>
          <w:szCs w:val="24"/>
        </w:rPr>
        <w:t>日至202</w:t>
      </w:r>
      <w:r>
        <w:rPr>
          <w:rFonts w:hint="eastAsia" w:ascii="宋体" w:hAnsi="宋体" w:eastAsia="宋体"/>
          <w:bCs/>
          <w:sz w:val="24"/>
          <w:szCs w:val="24"/>
          <w:lang w:val="en-US" w:eastAsia="zh-CN"/>
        </w:rPr>
        <w:t>4</w:t>
      </w:r>
      <w:r>
        <w:rPr>
          <w:rFonts w:hint="default" w:ascii="宋体" w:hAnsi="宋体" w:eastAsia="宋体"/>
          <w:bCs/>
          <w:sz w:val="24"/>
          <w:szCs w:val="24"/>
        </w:rPr>
        <w:t>年</w:t>
      </w:r>
      <w:r>
        <w:rPr>
          <w:rFonts w:hint="eastAsia" w:ascii="宋体" w:hAnsi="宋体" w:eastAsia="宋体"/>
          <w:bCs/>
          <w:sz w:val="24"/>
          <w:szCs w:val="24"/>
          <w:lang w:val="en-US" w:eastAsia="zh-CN"/>
        </w:rPr>
        <w:t>10</w:t>
      </w:r>
      <w:r>
        <w:rPr>
          <w:rFonts w:hint="default" w:ascii="宋体" w:hAnsi="宋体" w:eastAsia="宋体"/>
          <w:bCs/>
          <w:sz w:val="24"/>
          <w:szCs w:val="24"/>
        </w:rPr>
        <w:t>月</w:t>
      </w:r>
      <w:r>
        <w:rPr>
          <w:rFonts w:hint="eastAsia" w:ascii="宋体" w:hAnsi="宋体" w:eastAsia="宋体"/>
          <w:bCs/>
          <w:sz w:val="24"/>
          <w:szCs w:val="24"/>
          <w:lang w:val="en-US" w:eastAsia="zh-CN"/>
        </w:rPr>
        <w:t>17</w:t>
      </w:r>
      <w:r>
        <w:rPr>
          <w:rFonts w:hint="default" w:ascii="宋体" w:hAnsi="宋体" w:eastAsia="宋体"/>
          <w:bCs/>
          <w:sz w:val="24"/>
          <w:szCs w:val="24"/>
        </w:rPr>
        <w:t>日（即信息披露公告期）在天津产权交易中心公开挂牌(详见https://www.tpre.cn)，项目编号：</w:t>
      </w:r>
      <w:bookmarkEnd w:id="0"/>
      <w:r>
        <w:rPr>
          <w:rFonts w:hint="default" w:ascii="宋体" w:hAnsi="宋体" w:eastAsia="宋体"/>
          <w:bCs/>
          <w:sz w:val="24"/>
          <w:szCs w:val="24"/>
        </w:rPr>
        <w:t>GR2024TJ1001</w:t>
      </w:r>
      <w:r>
        <w:rPr>
          <w:rFonts w:hint="eastAsia" w:ascii="宋体" w:hAnsi="宋体" w:eastAsia="宋体"/>
          <w:bCs/>
          <w:sz w:val="24"/>
          <w:szCs w:val="24"/>
          <w:lang w:val="en-US" w:eastAsia="zh-CN"/>
        </w:rPr>
        <w:t>581</w:t>
      </w:r>
      <w:r>
        <w:rPr>
          <w:rFonts w:hint="default" w:ascii="宋体" w:hAnsi="宋体" w:eastAsia="宋体"/>
          <w:bCs/>
          <w:sz w:val="24"/>
          <w:szCs w:val="24"/>
        </w:rPr>
        <w:t>。竞买人须在</w:t>
      </w:r>
      <w:r>
        <w:rPr>
          <w:rFonts w:hint="eastAsia" w:ascii="宋体" w:hAnsi="宋体" w:eastAsia="宋体"/>
          <w:bCs/>
          <w:sz w:val="24"/>
          <w:szCs w:val="24"/>
        </w:rPr>
        <w:t>天津产权交易中心资产</w:t>
      </w:r>
      <w:r>
        <w:rPr>
          <w:rFonts w:hint="default" w:ascii="宋体" w:hAnsi="宋体" w:eastAsia="宋体"/>
          <w:bCs/>
          <w:sz w:val="24"/>
          <w:szCs w:val="24"/>
        </w:rPr>
        <w:t>转让信息披露公告期内完成以下事项后，方具有竞买资格：1.向</w:t>
      </w:r>
      <w:r>
        <w:rPr>
          <w:rFonts w:hint="eastAsia" w:ascii="宋体" w:hAnsi="宋体" w:eastAsia="宋体"/>
          <w:bCs/>
          <w:sz w:val="24"/>
          <w:szCs w:val="24"/>
        </w:rPr>
        <w:t>天津产权交易中心</w:t>
      </w:r>
      <w:r>
        <w:rPr>
          <w:rFonts w:hint="default" w:ascii="宋体" w:hAnsi="宋体" w:eastAsia="宋体"/>
          <w:bCs/>
          <w:sz w:val="24"/>
          <w:szCs w:val="24"/>
        </w:rPr>
        <w:t>递交受让申请；2.联系我公司办理竞买</w:t>
      </w:r>
      <w:r>
        <w:rPr>
          <w:rFonts w:hint="eastAsia" w:ascii="宋体" w:hAnsi="宋体" w:eastAsia="宋体"/>
          <w:bCs/>
          <w:sz w:val="24"/>
          <w:szCs w:val="24"/>
        </w:rPr>
        <w:t>注册</w:t>
      </w:r>
      <w:r>
        <w:rPr>
          <w:rFonts w:hint="default" w:ascii="宋体" w:hAnsi="宋体" w:eastAsia="宋体"/>
          <w:bCs/>
          <w:sz w:val="24"/>
          <w:szCs w:val="24"/>
        </w:rPr>
        <w:t>登记手续；3.在在天津产权交易中心信息披露期满前支付</w:t>
      </w:r>
      <w:r>
        <w:rPr>
          <w:rFonts w:hint="eastAsia" w:ascii="宋体" w:hAnsi="宋体" w:eastAsia="宋体"/>
          <w:bCs/>
          <w:sz w:val="24"/>
          <w:szCs w:val="24"/>
        </w:rPr>
        <w:t>相关</w:t>
      </w:r>
      <w:r>
        <w:rPr>
          <w:rFonts w:hint="default" w:ascii="宋体" w:hAnsi="宋体" w:eastAsia="宋体"/>
          <w:bCs/>
          <w:sz w:val="24"/>
          <w:szCs w:val="24"/>
        </w:rPr>
        <w:t>交易保证金到天津产权交易中心指定的银行账户。</w:t>
      </w:r>
    </w:p>
    <w:p w14:paraId="6B61D996">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hint="eastAsia" w:ascii="宋体" w:hAnsi="宋体" w:eastAsia="宋体"/>
          <w:bCs/>
          <w:sz w:val="24"/>
          <w:szCs w:val="24"/>
        </w:rPr>
        <w:t>五</w:t>
      </w:r>
      <w:r>
        <w:rPr>
          <w:rFonts w:hint="default" w:ascii="宋体" w:hAnsi="宋体" w:eastAsia="宋体"/>
          <w:bCs/>
          <w:sz w:val="24"/>
          <w:szCs w:val="24"/>
        </w:rPr>
        <w:t>、竞买人应在拍卖公告规定的展示时间内对拍卖标的进行实地踏勘，竞买人一经在</w:t>
      </w:r>
      <w:r>
        <w:rPr>
          <w:rFonts w:hint="eastAsia" w:ascii="宋体" w:hAnsi="宋体" w:eastAsia="宋体"/>
          <w:bCs/>
          <w:sz w:val="24"/>
          <w:szCs w:val="24"/>
        </w:rPr>
        <w:t>天津产权交易中心</w:t>
      </w:r>
      <w:r>
        <w:rPr>
          <w:rFonts w:hint="default" w:ascii="宋体" w:hAnsi="宋体" w:eastAsia="宋体"/>
          <w:bCs/>
          <w:sz w:val="24"/>
          <w:szCs w:val="24"/>
        </w:rPr>
        <w:t>递交受让申请、支付交易保证金，同时在拍卖公司办理竞买登记手续，即视为其已详细阅读并完全认可本拍卖规则、网络拍卖须知、拍卖标的产权转让信息披露公告内容，已充分了解并自愿完全接受拍卖标的的规格型号</w:t>
      </w:r>
      <w:r>
        <w:rPr>
          <w:rFonts w:hint="default" w:ascii="宋体" w:hAnsi="宋体" w:eastAsia="宋体"/>
          <w:bCs/>
          <w:sz w:val="24"/>
          <w:szCs w:val="24"/>
          <w:lang w:eastAsia="zh-TW"/>
        </w:rPr>
        <w:t>、数量、品质、状况、瑕疵等一切情况。</w:t>
      </w:r>
    </w:p>
    <w:p w14:paraId="243F800B">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hint="eastAsia" w:ascii="宋体" w:hAnsi="宋体" w:eastAsia="宋体"/>
          <w:bCs/>
          <w:sz w:val="24"/>
          <w:szCs w:val="24"/>
          <w:lang w:eastAsia="zh-TW"/>
        </w:rPr>
        <w:t>六</w:t>
      </w:r>
      <w:r>
        <w:rPr>
          <w:rFonts w:hint="default" w:ascii="宋体" w:hAnsi="宋体" w:eastAsia="宋体"/>
          <w:bCs/>
          <w:sz w:val="24"/>
          <w:szCs w:val="24"/>
          <w:lang w:eastAsia="zh-TW"/>
        </w:rPr>
        <w:t>、</w:t>
      </w:r>
      <w:r>
        <w:rPr>
          <w:rFonts w:hint="default" w:ascii="宋体" w:hAnsi="宋体" w:eastAsia="宋体"/>
          <w:bCs/>
          <w:sz w:val="24"/>
          <w:szCs w:val="24"/>
        </w:rPr>
        <w:t>中国石油天然气股份有限公司长庆油田分公司第七采油厂拟处置部分废旧物资（254项）</w:t>
      </w:r>
      <w:r>
        <w:rPr>
          <w:rFonts w:hint="eastAsia" w:ascii="宋体" w:hAnsi="宋体" w:eastAsia="宋体"/>
          <w:bCs/>
          <w:sz w:val="24"/>
          <w:szCs w:val="24"/>
          <w:lang w:eastAsia="zh-TW"/>
        </w:rPr>
        <w:t>，</w:t>
      </w:r>
      <w:r>
        <w:rPr>
          <w:rFonts w:hint="default" w:ascii="宋体" w:hAnsi="宋体" w:eastAsia="宋体"/>
          <w:bCs/>
          <w:sz w:val="24"/>
          <w:szCs w:val="24"/>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6DF4351D">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hint="eastAsia" w:ascii="宋体" w:hAnsi="宋体" w:eastAsia="宋体"/>
          <w:bCs/>
          <w:sz w:val="24"/>
          <w:szCs w:val="24"/>
          <w:lang w:eastAsia="zh-TW"/>
        </w:rPr>
        <w:t>七</w:t>
      </w:r>
      <w:r>
        <w:rPr>
          <w:rFonts w:hint="default" w:ascii="宋体" w:hAnsi="宋体" w:eastAsia="宋体"/>
          <w:bCs/>
          <w:sz w:val="24"/>
          <w:szCs w:val="24"/>
          <w:lang w:eastAsia="zh-TW"/>
        </w:rPr>
        <w:t>、本次拍卖会起拍价为在</w:t>
      </w:r>
      <w:r>
        <w:rPr>
          <w:rFonts w:hint="eastAsia" w:ascii="宋体" w:hAnsi="宋体" w:eastAsia="宋体"/>
          <w:bCs/>
          <w:sz w:val="24"/>
          <w:szCs w:val="24"/>
          <w:lang w:eastAsia="zh-TW"/>
        </w:rPr>
        <w:t>天津产权交易中心</w:t>
      </w:r>
      <w:r>
        <w:rPr>
          <w:rFonts w:hint="default" w:ascii="宋体" w:hAnsi="宋体" w:eastAsia="宋体"/>
          <w:bCs/>
          <w:sz w:val="24"/>
          <w:szCs w:val="24"/>
          <w:lang w:eastAsia="zh-TW"/>
        </w:rPr>
        <w:t>挂牌的转让底价（即</w:t>
      </w:r>
      <w:r>
        <w:rPr>
          <w:rFonts w:hint="eastAsia" w:ascii="宋体" w:hAnsi="宋体" w:eastAsia="宋体"/>
          <w:bCs/>
          <w:sz w:val="24"/>
          <w:szCs w:val="24"/>
          <w:lang w:val="en-US" w:eastAsia="zh-CN"/>
        </w:rPr>
        <w:t>909万元</w:t>
      </w:r>
      <w:r>
        <w:rPr>
          <w:rFonts w:hint="default" w:ascii="宋体" w:hAnsi="宋体" w:eastAsia="宋体"/>
          <w:bCs/>
          <w:sz w:val="24"/>
          <w:szCs w:val="24"/>
          <w:lang w:eastAsia="zh-TW"/>
        </w:rPr>
        <w:t>），网络拍卖采取增价方式。</w:t>
      </w:r>
    </w:p>
    <w:p w14:paraId="2848E7EA">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八</w:t>
      </w:r>
      <w:r>
        <w:rPr>
          <w:rFonts w:ascii="宋体" w:hAnsi="宋体" w:eastAsia="宋体"/>
          <w:lang w:eastAsia="zh-TW"/>
        </w:rPr>
        <w:t>、竞买人使用</w:t>
      </w:r>
      <w:r>
        <w:rPr>
          <w:rFonts w:hint="eastAsia" w:ascii="宋体" w:hAnsi="宋体" w:eastAsia="宋体"/>
          <w:lang w:eastAsia="zh-TW"/>
        </w:rPr>
        <w:t>拍拍在线</w:t>
      </w:r>
      <w:r>
        <w:rPr>
          <w:rFonts w:ascii="宋体" w:hAnsi="宋体" w:eastAsia="宋体"/>
          <w:lang w:eastAsia="zh-TW"/>
        </w:rPr>
        <w:t>平台服务所存在的风险、产生的一切后果将完全由其自行承担。</w:t>
      </w:r>
    </w:p>
    <w:p w14:paraId="569D72ED">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w:t>
      </w:r>
      <w:bookmarkStart w:id="1" w:name="_GoBack"/>
      <w:bookmarkEnd w:id="1"/>
      <w:r>
        <w:rPr>
          <w:rFonts w:ascii="宋体" w:hAnsi="宋体" w:eastAsia="宋体"/>
        </w:rPr>
        <w:t>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lang w:eastAsia="zh-TW"/>
        </w:rPr>
        <w:t>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w:t>
      </w:r>
      <w:r>
        <w:rPr>
          <w:rFonts w:hint="default" w:ascii="宋体" w:hAnsi="宋体" w:eastAsia="宋体"/>
          <w:bCs/>
          <w:sz w:val="24"/>
          <w:szCs w:val="24"/>
          <w:lang w:eastAsia="zh-TW"/>
        </w:rPr>
        <w:t>的</w:t>
      </w:r>
      <w:r>
        <w:rPr>
          <w:rFonts w:hint="eastAsia" w:ascii="宋体" w:hAnsi="宋体" w:eastAsia="宋体"/>
          <w:bCs/>
          <w:sz w:val="24"/>
          <w:szCs w:val="24"/>
          <w:lang w:eastAsia="zh-TW"/>
        </w:rPr>
        <w:t>交易保证金不予退还，作为对相关方的补偿，买受人应承担由此产生的法</w:t>
      </w:r>
      <w:r>
        <w:rPr>
          <w:rFonts w:hint="default" w:ascii="宋体" w:hAnsi="宋体" w:eastAsia="宋体"/>
          <w:bCs/>
          <w:sz w:val="24"/>
          <w:szCs w:val="24"/>
          <w:lang w:eastAsia="zh-TW"/>
        </w:rPr>
        <w:t>律责任。</w:t>
      </w:r>
    </w:p>
    <w:p w14:paraId="3B51AC94">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hint="default" w:ascii="宋体" w:hAnsi="宋体" w:eastAsia="宋体"/>
          <w:bCs/>
          <w:sz w:val="24"/>
          <w:szCs w:val="24"/>
          <w:lang w:eastAsia="zh-TW"/>
        </w:rPr>
        <w:t>十、</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在天津产权出具资产交易凭证后5个工作日内持资产交易凭证、</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有效身份证明，赴现场与转让方开始办理标的资产交割工作；标的资产的油渍清洗（如有）、装卸、运输、场地清理等费用由</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承担，标的资产交割工作应按照转让方的安全环保要求开展，标的资产的装卸、运输须由具备装卸、运输资质或委托有装卸、运输资质的单位施工，并在标的资产交割前一次性缴纳100万元人民币的安全环保保证金至转让方指定账户。标的资产的交割工作需在45个工作日内完成。标的资产移交过程中，因</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原因造成的安全、环境污染所发生的任何费用均由</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承担，转让方不承担由此造成的任何责任。</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的交易服务费按成交价格的1%支付至天津产权指定账户。</w:t>
      </w:r>
    </w:p>
    <w:p w14:paraId="0E0F6420">
      <w:pPr>
        <w:pStyle w:val="5"/>
        <w:widowControl/>
        <w:shd w:val="clear" w:color="auto" w:fill="FFFFFF"/>
        <w:spacing w:beforeAutospacing="0" w:afterAutospacing="0"/>
        <w:ind w:firstLine="360"/>
        <w:rPr>
          <w:rFonts w:ascii="宋体" w:hAnsi="宋体" w:eastAsia="宋体"/>
        </w:rPr>
      </w:pPr>
      <w:r>
        <w:rPr>
          <w:rFonts w:hint="default" w:ascii="宋体" w:hAnsi="宋体" w:eastAsia="宋体"/>
          <w:bCs/>
          <w:sz w:val="24"/>
          <w:szCs w:val="24"/>
          <w:lang w:eastAsia="zh-TW"/>
        </w:rPr>
        <w:t>十</w:t>
      </w:r>
      <w:r>
        <w:rPr>
          <w:rFonts w:hint="eastAsia" w:ascii="宋体" w:hAnsi="宋体" w:eastAsia="宋体"/>
          <w:bCs/>
          <w:sz w:val="24"/>
          <w:szCs w:val="24"/>
          <w:lang w:eastAsia="zh-TW"/>
        </w:rPr>
        <w:t>一</w:t>
      </w:r>
      <w:r>
        <w:rPr>
          <w:rFonts w:hint="default" w:ascii="宋体" w:hAnsi="宋体" w:eastAsia="宋体"/>
          <w:bCs/>
          <w:sz w:val="24"/>
          <w:szCs w:val="24"/>
          <w:lang w:eastAsia="zh-TW"/>
        </w:rPr>
        <w:t>、拍卖标的在</w:t>
      </w:r>
      <w:r>
        <w:rPr>
          <w:rFonts w:hint="eastAsia" w:ascii="宋体" w:hAnsi="宋体" w:eastAsia="宋体"/>
          <w:bCs/>
          <w:lang w:eastAsia="zh-TW"/>
        </w:rPr>
        <w:t>天津产权交易中心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14:paraId="27D25647">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14:paraId="5741A8F5">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77CE77D9">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8EA8F7C">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14:paraId="39F564C5">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634F20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21</w:t>
      </w:r>
      <w:r>
        <w:rPr>
          <w:rFonts w:ascii="宋体" w:hAnsi="宋体" w:eastAsia="宋体"/>
        </w:rPr>
        <w:t>日）</w:t>
      </w:r>
      <w:r>
        <w:rPr>
          <w:rFonts w:hint="eastAsia" w:ascii="宋体" w:hAnsi="宋体" w:eastAsia="宋体"/>
          <w:lang w:val="en-US" w:eastAsia="zh-CN"/>
        </w:rPr>
        <w:t>9</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3C299502">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281B9D4">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21</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21</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2BB24182">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6F4547A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2AB9E623">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972E762">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023F0181">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3A3DEA04">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7137BA93">
      <w:pPr>
        <w:pStyle w:val="5"/>
        <w:widowControl/>
        <w:shd w:val="clear" w:color="auto" w:fill="FFFFFF"/>
        <w:spacing w:beforeAutospacing="0" w:afterAutospacing="0"/>
        <w:ind w:firstLine="360"/>
        <w:rPr>
          <w:rFonts w:hint="default" w:ascii="宋体" w:hAnsi="宋体" w:eastAsia="宋体"/>
          <w:bCs/>
          <w:sz w:val="24"/>
          <w:szCs w:val="24"/>
          <w:lang w:eastAsia="zh-TW"/>
        </w:rPr>
      </w:pPr>
      <w:r>
        <w:rPr>
          <w:rFonts w:ascii="宋体" w:hAnsi="宋体" w:eastAsia="宋体"/>
        </w:rPr>
        <w:t>十、</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在天津产权出具资产交易凭证后5个工作日内持资产交易凭证、</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有效身份证明，赴现场与转让方开始办理标的资产交割工作；标的资产的油渍清洗（如有）、装卸、运输、场地清理等费用由</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承担，标的资产交割工作应按照转让方的安全环保要求开展，标的资产的装卸、运输须由具备装卸、运输资质或委托有装卸、运输资质的单位施工，并在标的资产交割前一次性缴纳100万元人民币的安全环保保证金至转让方指定账户。标的资产的交割工作需在45个工作日内完成。标的资产移交过程中，因</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原因造成的安全、环境污染所发生的任何费用均由</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承担，转让方不承担由此造成的任何责任。</w:t>
      </w:r>
      <w:r>
        <w:rPr>
          <w:rFonts w:hint="eastAsia" w:ascii="宋体" w:hAnsi="宋体" w:eastAsia="宋体"/>
          <w:bCs/>
          <w:sz w:val="24"/>
          <w:szCs w:val="24"/>
          <w:lang w:val="en-US" w:eastAsia="zh-CN"/>
        </w:rPr>
        <w:t>买受人</w:t>
      </w:r>
      <w:r>
        <w:rPr>
          <w:rFonts w:hint="default" w:ascii="宋体" w:hAnsi="宋体" w:eastAsia="宋体"/>
          <w:bCs/>
          <w:sz w:val="24"/>
          <w:szCs w:val="24"/>
          <w:lang w:eastAsia="zh-TW"/>
        </w:rPr>
        <w:t>的交易服务费按成交价格的1%支付至天津产权指定账户。</w:t>
      </w:r>
    </w:p>
    <w:p w14:paraId="53140CD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B473997">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14:paraId="79D533DA">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EDAD75F">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6B008700">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2F6621ED">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6107DA2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76E6F892">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759A6264">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14:paraId="7C58CC84">
      <w:pPr>
        <w:pStyle w:val="5"/>
        <w:widowControl/>
        <w:shd w:val="clear" w:color="auto" w:fill="FFFFFF"/>
        <w:spacing w:beforeAutospacing="0" w:afterAutospacing="0"/>
        <w:ind w:left="360"/>
        <w:rPr>
          <w:rFonts w:ascii="宋体" w:hAnsi="宋体" w:eastAsia="宋体"/>
        </w:rPr>
      </w:pPr>
    </w:p>
    <w:p w14:paraId="7E1A3391">
      <w:pPr>
        <w:pStyle w:val="5"/>
        <w:widowControl/>
        <w:shd w:val="clear" w:color="auto" w:fill="FFFFFF"/>
        <w:spacing w:beforeAutospacing="0" w:afterAutospacing="0"/>
        <w:ind w:left="360"/>
        <w:rPr>
          <w:rFonts w:ascii="宋体" w:hAnsi="宋体" w:eastAsia="宋体"/>
        </w:rPr>
      </w:pPr>
    </w:p>
    <w:p w14:paraId="3E0A6BA8">
      <w:pPr>
        <w:pStyle w:val="5"/>
        <w:widowControl/>
        <w:shd w:val="clear" w:color="auto" w:fill="FFFFFF"/>
        <w:spacing w:beforeAutospacing="0" w:afterAutospacing="0"/>
        <w:ind w:left="360"/>
        <w:rPr>
          <w:rFonts w:ascii="宋体" w:hAnsi="宋体" w:eastAsia="宋体"/>
        </w:rPr>
      </w:pPr>
    </w:p>
    <w:p w14:paraId="1918EE4B">
      <w:pPr>
        <w:pStyle w:val="5"/>
        <w:widowControl/>
        <w:shd w:val="clear" w:color="auto" w:fill="FFFFFF"/>
        <w:spacing w:beforeAutospacing="0" w:afterAutospacing="0"/>
        <w:ind w:left="360"/>
        <w:rPr>
          <w:rFonts w:ascii="宋体" w:hAnsi="宋体" w:eastAsia="宋体"/>
        </w:rPr>
      </w:pPr>
    </w:p>
    <w:p w14:paraId="7337F2F3">
      <w:pPr>
        <w:pStyle w:val="5"/>
        <w:widowControl/>
        <w:shd w:val="clear" w:color="auto" w:fill="FFFFFF"/>
        <w:spacing w:beforeAutospacing="0" w:afterAutospacing="0"/>
        <w:ind w:left="360"/>
        <w:rPr>
          <w:rFonts w:ascii="宋体" w:hAnsi="宋体" w:eastAsia="宋体"/>
        </w:rPr>
      </w:pPr>
    </w:p>
    <w:p w14:paraId="7AB6C318">
      <w:pPr>
        <w:pStyle w:val="5"/>
        <w:widowControl/>
        <w:shd w:val="clear" w:color="auto" w:fill="FFFFFF"/>
        <w:spacing w:beforeAutospacing="0" w:afterAutospacing="0"/>
        <w:ind w:left="360"/>
        <w:rPr>
          <w:rFonts w:ascii="宋体" w:hAnsi="宋体" w:eastAsia="宋体"/>
        </w:rPr>
      </w:pPr>
    </w:p>
    <w:p w14:paraId="585A063B">
      <w:pPr>
        <w:pStyle w:val="5"/>
        <w:widowControl/>
        <w:shd w:val="clear" w:color="auto" w:fill="FFFFFF"/>
        <w:spacing w:beforeAutospacing="0" w:afterAutospacing="0"/>
        <w:ind w:left="360"/>
        <w:rPr>
          <w:rFonts w:ascii="宋体" w:hAnsi="宋体" w:eastAsia="宋体"/>
        </w:rPr>
      </w:pPr>
    </w:p>
    <w:p w14:paraId="662247F3">
      <w:pPr>
        <w:pStyle w:val="5"/>
        <w:widowControl/>
        <w:shd w:val="clear" w:color="auto" w:fill="FFFFFF"/>
        <w:spacing w:beforeAutospacing="0" w:afterAutospacing="0"/>
        <w:ind w:left="360"/>
        <w:rPr>
          <w:rFonts w:ascii="宋体" w:hAnsi="宋体" w:eastAsia="宋体"/>
        </w:rPr>
      </w:pPr>
    </w:p>
    <w:p w14:paraId="24C01DFE">
      <w:pPr>
        <w:pStyle w:val="5"/>
        <w:widowControl/>
        <w:shd w:val="clear" w:color="auto" w:fill="FFFFFF"/>
        <w:spacing w:beforeAutospacing="0" w:afterAutospacing="0"/>
        <w:ind w:left="360"/>
        <w:rPr>
          <w:rFonts w:ascii="宋体" w:hAnsi="宋体" w:eastAsia="宋体"/>
        </w:rPr>
      </w:pPr>
    </w:p>
    <w:p w14:paraId="3BCCF72D">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14:paraId="45263767">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0CDBD3D8">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10</w:t>
      </w:r>
      <w:r>
        <w:rPr>
          <w:rFonts w:hint="eastAsia" w:ascii="宋体" w:hAnsi="宋体" w:eastAsia="宋体"/>
        </w:rPr>
        <w:t>月</w:t>
      </w:r>
      <w:r>
        <w:rPr>
          <w:rFonts w:hint="eastAsia" w:ascii="宋体" w:hAnsi="宋体" w:eastAsia="宋体"/>
          <w:lang w:val="en-US" w:eastAsia="zh-CN"/>
        </w:rPr>
        <w:t>21</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80B"/>
    <w:rsid w:val="000C7879"/>
    <w:rsid w:val="001565D9"/>
    <w:rsid w:val="001B2D98"/>
    <w:rsid w:val="00836316"/>
    <w:rsid w:val="00852629"/>
    <w:rsid w:val="00A6190F"/>
    <w:rsid w:val="00AC5DE9"/>
    <w:rsid w:val="00AE0795"/>
    <w:rsid w:val="00E10BE6"/>
    <w:rsid w:val="011E1787"/>
    <w:rsid w:val="04415F4E"/>
    <w:rsid w:val="073831BD"/>
    <w:rsid w:val="08261E63"/>
    <w:rsid w:val="08CA74B0"/>
    <w:rsid w:val="08EA4487"/>
    <w:rsid w:val="187212C7"/>
    <w:rsid w:val="189D5138"/>
    <w:rsid w:val="18D87D7B"/>
    <w:rsid w:val="1C2F454A"/>
    <w:rsid w:val="1CA745C5"/>
    <w:rsid w:val="1D58293E"/>
    <w:rsid w:val="1E1100E9"/>
    <w:rsid w:val="27407B48"/>
    <w:rsid w:val="2953022C"/>
    <w:rsid w:val="2B0977B3"/>
    <w:rsid w:val="2E6F12A7"/>
    <w:rsid w:val="2E947847"/>
    <w:rsid w:val="2EF20B1E"/>
    <w:rsid w:val="2F905505"/>
    <w:rsid w:val="31B36B3F"/>
    <w:rsid w:val="33FD3ED6"/>
    <w:rsid w:val="35C068D7"/>
    <w:rsid w:val="35CA2788"/>
    <w:rsid w:val="35F876C0"/>
    <w:rsid w:val="3B415209"/>
    <w:rsid w:val="48323A76"/>
    <w:rsid w:val="4EAE3C89"/>
    <w:rsid w:val="4FBE2AA2"/>
    <w:rsid w:val="50EB0199"/>
    <w:rsid w:val="52B105C8"/>
    <w:rsid w:val="56C1506B"/>
    <w:rsid w:val="5A111D84"/>
    <w:rsid w:val="5B1E576E"/>
    <w:rsid w:val="5D907ACB"/>
    <w:rsid w:val="602B6D69"/>
    <w:rsid w:val="65CE2964"/>
    <w:rsid w:val="66673746"/>
    <w:rsid w:val="67D82034"/>
    <w:rsid w:val="680E1D9F"/>
    <w:rsid w:val="68F74243"/>
    <w:rsid w:val="69A96353"/>
    <w:rsid w:val="69B308AF"/>
    <w:rsid w:val="6C0E36E7"/>
    <w:rsid w:val="6DB30EBC"/>
    <w:rsid w:val="702D35C1"/>
    <w:rsid w:val="7A8C3D38"/>
    <w:rsid w:val="7AAB5524"/>
    <w:rsid w:val="7C3B6702"/>
    <w:rsid w:val="7F586DBE"/>
    <w:rsid w:val="7F64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2810</Words>
  <Characters>2948</Characters>
  <Lines>26</Lines>
  <Paragraphs>7</Paragraphs>
  <TotalTime>1</TotalTime>
  <ScaleCrop>false</ScaleCrop>
  <LinksUpToDate>false</LinksUpToDate>
  <CharactersWithSpaces>3019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2024-09-30T02:55:07Z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635D53C17A694AB4877BE1FF37681281</vt:lpwstr>
  </property>
</Properties>
</file>