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二、竞买人必须遵守本拍卖规则、网络拍卖须知及拍拍在线平台公开发布的相关规则。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三、（2025年第3030号）标的6：冀RWP782</w:t>
      </w:r>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w:t>
      </w:r>
      <w:r>
        <w:rPr>
          <w:rFonts w:hint="default" w:ascii="宋体" w:hAnsi="宋体" w:eastAsia="宋体"/>
          <w:lang w:val="en-US" w:eastAsia="zh-CN"/>
        </w:rPr>
        <w:t>月</w:t>
      </w:r>
      <w:r>
        <w:rPr>
          <w:rFonts w:hint="eastAsia" w:ascii="宋体" w:hAnsi="宋体" w:eastAsia="宋体"/>
          <w:lang w:val="en-US" w:eastAsia="zh-CN"/>
        </w:rPr>
        <w:t>26</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2</w:t>
      </w:r>
      <w:r>
        <w:rPr>
          <w:rFonts w:hint="default" w:ascii="宋体" w:hAnsi="宋体" w:eastAsia="宋体"/>
          <w:lang w:val="en-US" w:eastAsia="zh-CN"/>
        </w:rPr>
        <w:t>月</w:t>
      </w:r>
      <w:r>
        <w:rPr>
          <w:rFonts w:hint="eastAsia" w:ascii="宋体" w:hAnsi="宋体" w:eastAsia="宋体"/>
          <w:lang w:val="en-US" w:eastAsia="zh-CN"/>
        </w:rPr>
        <w:t>13</w:t>
      </w:r>
      <w:r>
        <w:rPr>
          <w:rFonts w:hint="default" w:ascii="宋体" w:hAnsi="宋体" w:eastAsia="宋体"/>
          <w:lang w:val="en-US" w:eastAsia="zh-CN"/>
        </w:rPr>
        <w:t>日（即信息披露公告期）在大连产权交易所公开挂牌(详见www.daee.cn)</w:t>
      </w:r>
      <w:bookmarkEnd w:id="0"/>
      <w:r>
        <w:rPr>
          <w:rFonts w:hint="eastAsia" w:ascii="宋体" w:hAnsi="宋体" w:eastAsia="宋体"/>
          <w:lang w:val="en-US" w:eastAsia="zh-CN"/>
        </w:rPr>
        <w:t>项目编号：LN2025DF100521。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w:t>
      </w:r>
      <w:r>
        <w:rPr>
          <w:rFonts w:hint="eastAsia" w:ascii="宋体" w:hAnsi="宋体" w:eastAsia="宋体"/>
          <w:lang w:val="en-US" w:eastAsia="zh-CN"/>
        </w:rPr>
        <w:t>连产权交易所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六、（2025年第3030号）标的6：冀RWP782。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七、本次挂牌价为在大连</w:t>
      </w:r>
      <w:r>
        <w:rPr>
          <w:rFonts w:ascii="宋体" w:hAnsi="宋体" w:eastAsia="宋体"/>
          <w:bCs/>
          <w:sz w:val="24"/>
          <w:szCs w:val="24"/>
        </w:rPr>
        <w:t>产权交易所挂牌的转让底价（即</w:t>
      </w:r>
      <w:r>
        <w:rPr>
          <w:rFonts w:hint="eastAsia" w:ascii="宋体" w:hAnsi="宋体" w:eastAsia="宋体"/>
          <w:bCs/>
          <w:sz w:val="24"/>
          <w:szCs w:val="24"/>
          <w:lang w:val="en-US" w:eastAsia="zh-CN"/>
        </w:rPr>
        <w:t>2.656</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w:t>
      </w:r>
      <w:r>
        <w:rPr>
          <w:rFonts w:hint="eastAsia" w:ascii="宋体" w:hAnsi="宋体" w:eastAsia="宋体"/>
          <w:lang w:val="en-US" w:eastAsia="zh-TW"/>
        </w:rPr>
        <w:t>付的交易保证金不予退还，作为对相关方的补偿，买受人应承担由此产生的法律责任。</w:t>
      </w:r>
    </w:p>
    <w:p w14:paraId="32445EAC">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w:t>
      </w:r>
      <w:r>
        <w:rPr>
          <w:rFonts w:hint="eastAsia" w:ascii="宋体" w:hAnsi="宋体" w:eastAsia="宋体"/>
          <w:lang w:val="en-US" w:eastAsia="zh-TW"/>
        </w:rPr>
        <w:t>拍卖标的在大连产权交易所的资产转让信息披露公告及公示的相关文件是本拍卖规则</w:t>
      </w:r>
      <w:r>
        <w:rPr>
          <w:rFonts w:ascii="宋体" w:hAnsi="宋体" w:eastAsia="宋体"/>
          <w:bCs/>
          <w:sz w:val="24"/>
          <w:szCs w:val="24"/>
          <w:lang w:eastAsia="zh-TW"/>
        </w:rPr>
        <w:t>的组成</w:t>
      </w:r>
      <w:r>
        <w:rPr>
          <w:rFonts w:ascii="宋体" w:hAnsi="宋体" w:eastAsia="宋体"/>
          <w:bCs/>
          <w:color w:val="000000"/>
          <w:lang w:eastAsia="zh-TW"/>
        </w:rPr>
        <w:t>部分</w:t>
      </w:r>
      <w:r>
        <w:rPr>
          <w:rFonts w:ascii="宋体" w:hAnsi="宋体" w:eastAsia="宋体"/>
          <w:bCs/>
          <w:lang w:eastAsia="zh-TW"/>
        </w:rPr>
        <w:t>。</w:t>
      </w:r>
    </w:p>
    <w:p w14:paraId="5C48EAFB">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w:t>
      </w:r>
      <w:r>
        <w:rPr>
          <w:rFonts w:hint="eastAsia" w:ascii="宋体" w:hAnsi="宋体" w:eastAsia="宋体"/>
          <w:lang w:val="en-US" w:eastAsia="zh-CN"/>
        </w:rPr>
        <w:t>12</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日1</w:t>
      </w:r>
      <w:r>
        <w:rPr>
          <w:rFonts w:hint="eastAsia" w:ascii="宋体" w:hAnsi="宋体" w:eastAsia="宋体"/>
          <w:lang w:val="en-US" w:eastAsia="zh-CN"/>
        </w:rPr>
        <w:t>2</w:t>
      </w:r>
      <w:r>
        <w:rPr>
          <w:rFonts w:ascii="宋体" w:hAnsi="宋体" w:eastAsia="宋体"/>
        </w:rPr>
        <w:t>时</w:t>
      </w:r>
      <w:r>
        <w:rPr>
          <w:rFonts w:hint="eastAsia" w:ascii="宋体" w:hAnsi="宋体" w:eastAsia="宋体"/>
          <w:lang w:val="en-US" w:eastAsia="zh-CN"/>
        </w:rPr>
        <w:t>3</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hint="eastAsia" w:ascii="宋体" w:hAnsi="宋体" w:eastAsia="宋体"/>
        </w:rPr>
        <w:t>日1</w:t>
      </w:r>
      <w:r>
        <w:rPr>
          <w:rFonts w:hint="eastAsia" w:ascii="宋体" w:hAnsi="宋体" w:eastAsia="宋体"/>
          <w:lang w:val="en-US" w:eastAsia="zh-CN"/>
        </w:rPr>
        <w:t>2</w:t>
      </w:r>
      <w:r>
        <w:rPr>
          <w:rFonts w:ascii="宋体" w:hAnsi="宋体" w:eastAsia="宋体"/>
        </w:rPr>
        <w:t>时</w:t>
      </w:r>
      <w:r>
        <w:rPr>
          <w:rFonts w:hint="eastAsia" w:ascii="宋体" w:hAnsi="宋体" w:eastAsia="宋体"/>
          <w:lang w:val="en-US" w:eastAsia="zh-CN"/>
        </w:rPr>
        <w:t>5</w:t>
      </w:r>
      <w:bookmarkStart w:id="1" w:name="_GoBack"/>
      <w:bookmarkEnd w:id="1"/>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57CFFF90">
      <w:pPr>
        <w:pStyle w:val="6"/>
        <w:widowControl/>
        <w:shd w:val="clear" w:color="auto" w:fill="FFFFFF"/>
        <w:spacing w:beforeAutospacing="0" w:afterAutospacing="0"/>
        <w:ind w:firstLine="480" w:firstLineChars="20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1D1C0791">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0B227CA7">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AAD101F"/>
    <w:rsid w:val="1C2F454A"/>
    <w:rsid w:val="1D58293E"/>
    <w:rsid w:val="1E1100E9"/>
    <w:rsid w:val="211566DA"/>
    <w:rsid w:val="27D00EDE"/>
    <w:rsid w:val="28806033"/>
    <w:rsid w:val="291140AC"/>
    <w:rsid w:val="2953022C"/>
    <w:rsid w:val="298369EF"/>
    <w:rsid w:val="2B0977B3"/>
    <w:rsid w:val="2E6F12A7"/>
    <w:rsid w:val="2E947847"/>
    <w:rsid w:val="2EF20B1E"/>
    <w:rsid w:val="2F7225C4"/>
    <w:rsid w:val="2F905505"/>
    <w:rsid w:val="30105946"/>
    <w:rsid w:val="3128510B"/>
    <w:rsid w:val="31B36B3F"/>
    <w:rsid w:val="33FD3ED6"/>
    <w:rsid w:val="35C068D7"/>
    <w:rsid w:val="35CA2788"/>
    <w:rsid w:val="3B415209"/>
    <w:rsid w:val="407E5CFC"/>
    <w:rsid w:val="48323A76"/>
    <w:rsid w:val="4EAE3C89"/>
    <w:rsid w:val="52B105C8"/>
    <w:rsid w:val="582312AD"/>
    <w:rsid w:val="5A111D84"/>
    <w:rsid w:val="5B1E576E"/>
    <w:rsid w:val="5D907ACB"/>
    <w:rsid w:val="602B6D69"/>
    <w:rsid w:val="65CE2964"/>
    <w:rsid w:val="66673746"/>
    <w:rsid w:val="680E1D9F"/>
    <w:rsid w:val="68F74243"/>
    <w:rsid w:val="6930271C"/>
    <w:rsid w:val="69A96353"/>
    <w:rsid w:val="69B308AF"/>
    <w:rsid w:val="6C0E36E7"/>
    <w:rsid w:val="6DB30EBC"/>
    <w:rsid w:val="6DF47754"/>
    <w:rsid w:val="702D35C1"/>
    <w:rsid w:val="70FC7B6E"/>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2235</Words>
  <Characters>2385</Characters>
  <Lines>23</Lines>
  <Paragraphs>6</Paragraphs>
  <TotalTime>1</TotalTime>
  <ScaleCrop>false</ScaleCrop>
  <LinksUpToDate>false</LinksUpToDate>
  <CharactersWithSpaces>2454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2025-01-27T00:49:11Z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