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BB9B9">
      <w:pPr>
        <w:widowControl/>
        <w:adjustRightInd w:val="0"/>
        <w:snapToGrid w:val="0"/>
        <w:spacing w:before="156" w:beforeLines="50" w:after="120" w:line="360" w:lineRule="auto"/>
        <w:jc w:val="left"/>
        <w:outlineLvl w:val="1"/>
        <w:rPr>
          <w:rFonts w:hint="eastAsia" w:ascii="宋体" w:hAnsi="宋体" w:eastAsia="宋体" w:cs="Times New Roman"/>
          <w:kern w:val="0"/>
          <w:sz w:val="28"/>
          <w:szCs w:val="28"/>
        </w:rPr>
      </w:pPr>
    </w:p>
    <w:p w14:paraId="7F70CEA3">
      <w:pPr>
        <w:widowControl/>
        <w:adjustRightInd w:val="0"/>
        <w:snapToGrid w:val="0"/>
        <w:spacing w:before="156" w:beforeLines="50" w:after="120" w:line="360" w:lineRule="auto"/>
        <w:jc w:val="left"/>
        <w:outlineLvl w:val="1"/>
        <w:rPr>
          <w:rFonts w:hint="eastAsia" w:ascii="宋体" w:hAnsi="宋体" w:eastAsia="宋体" w:cs="Times New Roman"/>
          <w:kern w:val="0"/>
          <w:sz w:val="28"/>
          <w:szCs w:val="28"/>
        </w:rPr>
      </w:pPr>
    </w:p>
    <w:p w14:paraId="25B43AA7">
      <w:pPr>
        <w:widowControl/>
        <w:adjustRightInd w:val="0"/>
        <w:snapToGrid w:val="0"/>
        <w:spacing w:before="156" w:beforeLines="50" w:after="120" w:line="360" w:lineRule="auto"/>
        <w:jc w:val="center"/>
        <w:rPr>
          <w:rFonts w:ascii="黑体" w:hAnsi="Calibri" w:eastAsia="黑体" w:cs="Times New Roman"/>
          <w:b/>
          <w:bCs/>
          <w:kern w:val="0"/>
          <w:sz w:val="32"/>
          <w:szCs w:val="32"/>
        </w:rPr>
      </w:pPr>
      <w:r>
        <w:rPr>
          <w:rFonts w:hint="eastAsia" w:ascii="Calibri" w:hAnsi="Calibri" w:eastAsia="黑体" w:cs="Times New Roman"/>
          <w:kern w:val="0"/>
          <w:sz w:val="72"/>
          <w:szCs w:val="24"/>
        </w:rPr>
        <w:t>竞买文件</w:t>
      </w:r>
    </w:p>
    <w:p w14:paraId="0E3AE0D4">
      <w:pPr>
        <w:widowControl/>
        <w:adjustRightInd w:val="0"/>
        <w:snapToGrid w:val="0"/>
        <w:spacing w:before="156" w:beforeLines="50" w:after="156" w:afterLines="50" w:line="360" w:lineRule="auto"/>
        <w:ind w:firstLine="1440" w:firstLineChars="450"/>
        <w:jc w:val="left"/>
        <w:rPr>
          <w:rFonts w:ascii="Calibri" w:hAnsi="Calibri" w:eastAsia="黑体" w:cs="Times New Roman"/>
          <w:kern w:val="0"/>
          <w:sz w:val="32"/>
          <w:szCs w:val="24"/>
        </w:rPr>
      </w:pPr>
    </w:p>
    <w:p w14:paraId="03CFD56C">
      <w:pPr>
        <w:widowControl/>
        <w:adjustRightInd w:val="0"/>
        <w:snapToGrid w:val="0"/>
        <w:spacing w:before="156" w:beforeLines="50" w:after="156" w:afterLines="50" w:line="360" w:lineRule="auto"/>
        <w:ind w:firstLine="1440" w:firstLineChars="450"/>
        <w:jc w:val="left"/>
        <w:rPr>
          <w:rFonts w:ascii="Calibri" w:hAnsi="Calibri" w:eastAsia="黑体" w:cs="Times New Roman"/>
          <w:kern w:val="0"/>
          <w:sz w:val="32"/>
          <w:szCs w:val="24"/>
        </w:rPr>
      </w:pPr>
    </w:p>
    <w:p w14:paraId="1995984A">
      <w:pPr>
        <w:ind w:firstLine="540" w:firstLineChars="150"/>
        <w:rPr>
          <w:rFonts w:hint="eastAsia" w:ascii="黑体" w:hAnsi="黑体" w:eastAsia="黑体" w:cs="Times New Roman"/>
          <w:sz w:val="36"/>
        </w:rPr>
      </w:pPr>
      <w:r>
        <w:rPr>
          <w:rFonts w:ascii="黑体" w:hAnsi="黑体" w:eastAsia="黑体" w:cs="Times New Roman"/>
          <w:sz w:val="36"/>
        </w:rPr>
        <w:t>项目名称：</w:t>
      </w:r>
      <w:r>
        <w:rPr>
          <w:rFonts w:hint="eastAsia" w:ascii="黑体" w:hAnsi="黑体" w:eastAsia="黑体" w:cs="Times New Roman"/>
          <w:sz w:val="36"/>
        </w:rPr>
        <w:t>中国石化扬子石油化工有限公司持有的PTA二线和3#丁二烯报废资产一批</w:t>
      </w:r>
    </w:p>
    <w:p w14:paraId="7D1E0E30">
      <w:pPr>
        <w:ind w:firstLine="540" w:firstLineChars="150"/>
        <w:rPr>
          <w:rFonts w:hint="eastAsia" w:ascii="黑体" w:hAnsi="黑体" w:eastAsia="黑体" w:cs="Times New Roman"/>
          <w:sz w:val="36"/>
        </w:rPr>
      </w:pPr>
    </w:p>
    <w:p w14:paraId="1B000DC0">
      <w:pPr>
        <w:widowControl/>
        <w:adjustRightInd w:val="0"/>
        <w:snapToGrid w:val="0"/>
        <w:spacing w:before="156" w:beforeLines="50" w:after="156" w:afterLines="50" w:line="360" w:lineRule="auto"/>
        <w:ind w:left="2340" w:hanging="2340" w:hangingChars="650"/>
        <w:jc w:val="left"/>
        <w:rPr>
          <w:rFonts w:hint="eastAsia" w:ascii="黑体" w:hAnsi="黑体" w:eastAsia="黑体" w:cs="Times New Roman"/>
          <w:kern w:val="0"/>
          <w:sz w:val="36"/>
          <w:szCs w:val="24"/>
          <w:u w:val="single"/>
        </w:rPr>
      </w:pPr>
      <w:r>
        <w:rPr>
          <w:rFonts w:hint="eastAsia" w:ascii="黑体" w:hAnsi="黑体" w:eastAsia="黑体" w:cs="Times New Roman"/>
          <w:kern w:val="0"/>
          <w:sz w:val="36"/>
          <w:szCs w:val="24"/>
        </w:rPr>
        <w:t>意向受让方名称（盖章）</w:t>
      </w:r>
      <w:r>
        <w:rPr>
          <w:rFonts w:ascii="黑体" w:hAnsi="黑体" w:eastAsia="黑体" w:cs="Times New Roman"/>
          <w:kern w:val="0"/>
          <w:sz w:val="36"/>
          <w:szCs w:val="24"/>
        </w:rPr>
        <w:t>：</w:t>
      </w:r>
    </w:p>
    <w:p w14:paraId="6C1C416F">
      <w:pPr>
        <w:widowControl/>
        <w:adjustRightInd w:val="0"/>
        <w:snapToGrid w:val="0"/>
        <w:spacing w:before="156" w:beforeLines="50" w:after="156" w:afterLines="50" w:line="360" w:lineRule="auto"/>
        <w:ind w:firstLine="4320" w:firstLineChars="1200"/>
        <w:jc w:val="left"/>
        <w:rPr>
          <w:rFonts w:hint="eastAsia" w:ascii="黑体" w:hAnsi="黑体" w:eastAsia="黑体" w:cs="Times New Roman"/>
          <w:kern w:val="0"/>
          <w:sz w:val="36"/>
          <w:szCs w:val="24"/>
          <w:u w:val="single"/>
        </w:rPr>
      </w:pPr>
    </w:p>
    <w:p w14:paraId="1307327E">
      <w:pPr>
        <w:widowControl/>
        <w:adjustRightInd w:val="0"/>
        <w:snapToGrid w:val="0"/>
        <w:spacing w:before="156" w:beforeLines="50" w:after="156" w:afterLines="50" w:line="360" w:lineRule="auto"/>
        <w:jc w:val="left"/>
        <w:rPr>
          <w:rFonts w:hint="eastAsia" w:ascii="黑体" w:hAnsi="黑体" w:eastAsia="黑体" w:cs="Times New Roman"/>
          <w:kern w:val="0"/>
          <w:sz w:val="36"/>
          <w:szCs w:val="24"/>
        </w:rPr>
      </w:pPr>
    </w:p>
    <w:p w14:paraId="1628C64C">
      <w:pPr>
        <w:widowControl/>
        <w:adjustRightInd w:val="0"/>
        <w:snapToGrid w:val="0"/>
        <w:spacing w:before="156" w:beforeLines="50" w:after="156" w:afterLines="50" w:line="360" w:lineRule="auto"/>
        <w:jc w:val="left"/>
        <w:rPr>
          <w:rFonts w:hint="eastAsia" w:ascii="黑体" w:hAnsi="黑体" w:eastAsia="黑体" w:cs="Times New Roman"/>
          <w:kern w:val="0"/>
          <w:sz w:val="36"/>
          <w:szCs w:val="24"/>
        </w:rPr>
      </w:pPr>
      <w:r>
        <w:rPr>
          <w:rFonts w:ascii="黑体" w:hAnsi="黑体" w:eastAsia="黑体" w:cs="Times New Roman"/>
          <w:kern w:val="0"/>
          <w:sz w:val="36"/>
          <w:szCs w:val="24"/>
        </w:rPr>
        <w:t>法 定 代 表 人</w:t>
      </w:r>
    </w:p>
    <w:p w14:paraId="354BFFC4">
      <w:pPr>
        <w:widowControl/>
        <w:adjustRightInd w:val="0"/>
        <w:snapToGrid w:val="0"/>
        <w:spacing w:before="156" w:beforeLines="50" w:after="156" w:afterLines="50" w:line="360" w:lineRule="auto"/>
        <w:jc w:val="left"/>
        <w:rPr>
          <w:rFonts w:hint="eastAsia" w:ascii="黑体" w:hAnsi="黑体" w:eastAsia="黑体" w:cs="Times New Roman"/>
          <w:kern w:val="0"/>
          <w:sz w:val="36"/>
          <w:szCs w:val="24"/>
          <w:u w:val="single"/>
        </w:rPr>
      </w:pPr>
      <w:r>
        <w:rPr>
          <w:rFonts w:ascii="黑体" w:hAnsi="黑体" w:eastAsia="黑体" w:cs="Times New Roman"/>
          <w:kern w:val="0"/>
          <w:sz w:val="36"/>
          <w:szCs w:val="24"/>
        </w:rPr>
        <w:t>或</w:t>
      </w:r>
      <w:r>
        <w:rPr>
          <w:rFonts w:hint="eastAsia" w:ascii="黑体" w:hAnsi="黑体" w:eastAsia="黑体" w:cs="Times New Roman"/>
          <w:kern w:val="0"/>
          <w:sz w:val="36"/>
          <w:szCs w:val="24"/>
        </w:rPr>
        <w:t>其授权代表</w:t>
      </w:r>
      <w:r>
        <w:rPr>
          <w:rFonts w:ascii="黑体" w:hAnsi="黑体" w:eastAsia="黑体" w:cs="Times New Roman"/>
          <w:kern w:val="0"/>
          <w:sz w:val="36"/>
          <w:szCs w:val="24"/>
        </w:rPr>
        <w:t>人（签</w:t>
      </w:r>
      <w:r>
        <w:rPr>
          <w:rFonts w:hint="eastAsia" w:ascii="黑体" w:hAnsi="黑体" w:eastAsia="黑体" w:cs="Times New Roman"/>
          <w:kern w:val="0"/>
          <w:sz w:val="36"/>
          <w:szCs w:val="24"/>
        </w:rPr>
        <w:t>字</w:t>
      </w:r>
      <w:r>
        <w:rPr>
          <w:rFonts w:ascii="黑体" w:hAnsi="黑体" w:eastAsia="黑体" w:cs="Times New Roman"/>
          <w:kern w:val="0"/>
          <w:sz w:val="36"/>
          <w:szCs w:val="24"/>
        </w:rPr>
        <w:t>）：</w:t>
      </w:r>
    </w:p>
    <w:p w14:paraId="3F9FD7D9">
      <w:pPr>
        <w:widowControl/>
        <w:adjustRightInd w:val="0"/>
        <w:snapToGrid w:val="0"/>
        <w:spacing w:before="156" w:beforeLines="50" w:after="120" w:line="360" w:lineRule="auto"/>
        <w:jc w:val="center"/>
        <w:rPr>
          <w:rFonts w:ascii="Calibri" w:hAnsi="Calibri" w:eastAsia="黑体" w:cs="Times New Roman"/>
          <w:kern w:val="0"/>
          <w:sz w:val="32"/>
          <w:szCs w:val="24"/>
        </w:rPr>
      </w:pPr>
    </w:p>
    <w:p w14:paraId="72286AE8">
      <w:pPr>
        <w:widowControl/>
        <w:adjustRightInd w:val="0"/>
        <w:snapToGrid w:val="0"/>
        <w:spacing w:before="156" w:beforeLines="50" w:after="120" w:line="360" w:lineRule="auto"/>
        <w:jc w:val="center"/>
        <w:rPr>
          <w:rFonts w:ascii="Calibri" w:hAnsi="Calibri" w:eastAsia="黑体" w:cs="Times New Roman"/>
          <w:kern w:val="0"/>
          <w:sz w:val="32"/>
          <w:szCs w:val="24"/>
        </w:rPr>
      </w:pPr>
      <w:r>
        <w:rPr>
          <w:rFonts w:ascii="Calibri" w:hAnsi="Calibri" w:eastAsia="黑体" w:cs="Times New Roman"/>
          <w:kern w:val="0"/>
          <w:sz w:val="32"/>
          <w:szCs w:val="24"/>
        </w:rPr>
        <w:t>日期：</w:t>
      </w:r>
      <w:r>
        <w:rPr>
          <w:rFonts w:hint="eastAsia" w:ascii="Calibri" w:hAnsi="Calibri" w:eastAsia="黑体" w:cs="Times New Roman"/>
          <w:kern w:val="0"/>
          <w:sz w:val="32"/>
          <w:szCs w:val="24"/>
        </w:rPr>
        <w:t>2025</w:t>
      </w:r>
      <w:r>
        <w:rPr>
          <w:rFonts w:ascii="Calibri" w:hAnsi="Calibri" w:eastAsia="黑体" w:cs="Times New Roman"/>
          <w:kern w:val="0"/>
          <w:sz w:val="32"/>
          <w:szCs w:val="24"/>
        </w:rPr>
        <w:t>年</w:t>
      </w:r>
      <w:r>
        <w:rPr>
          <w:rFonts w:hint="eastAsia" w:ascii="Calibri" w:hAnsi="Calibri" w:eastAsia="黑体" w:cs="Times New Roman"/>
          <w:kern w:val="0"/>
          <w:sz w:val="32"/>
          <w:szCs w:val="24"/>
        </w:rPr>
        <w:t>4</w:t>
      </w:r>
      <w:r>
        <w:rPr>
          <w:rFonts w:ascii="Calibri" w:hAnsi="Calibri" w:eastAsia="黑体" w:cs="Times New Roman"/>
          <w:kern w:val="0"/>
          <w:sz w:val="32"/>
          <w:szCs w:val="24"/>
        </w:rPr>
        <w:t>月</w:t>
      </w:r>
    </w:p>
    <w:p w14:paraId="139A46A3">
      <w:pPr>
        <w:widowControl/>
        <w:adjustRightInd w:val="0"/>
        <w:snapToGrid w:val="0"/>
        <w:spacing w:before="156" w:beforeLines="50" w:after="156" w:afterLines="50" w:line="360" w:lineRule="auto"/>
        <w:rPr>
          <w:rFonts w:ascii="Calibri" w:hAnsi="Calibri" w:eastAsia="黑体" w:cs="Times New Roman"/>
          <w:kern w:val="0"/>
          <w:sz w:val="32"/>
          <w:szCs w:val="24"/>
        </w:rPr>
      </w:pPr>
    </w:p>
    <w:p w14:paraId="69CAC057">
      <w:pPr>
        <w:widowControl/>
        <w:adjustRightInd w:val="0"/>
        <w:snapToGrid w:val="0"/>
        <w:spacing w:before="156" w:beforeLines="50" w:after="120" w:line="360" w:lineRule="auto"/>
        <w:outlineLvl w:val="1"/>
        <w:rPr>
          <w:rFonts w:hint="eastAsia" w:ascii="宋体" w:hAnsi="宋体" w:eastAsia="宋体" w:cs="Times New Roman"/>
          <w:b/>
          <w:kern w:val="0"/>
          <w:sz w:val="44"/>
          <w:szCs w:val="44"/>
        </w:rPr>
      </w:pPr>
    </w:p>
    <w:p w14:paraId="3F31A4DB">
      <w:pPr>
        <w:widowControl/>
        <w:adjustRightInd w:val="0"/>
        <w:snapToGrid w:val="0"/>
        <w:spacing w:before="156" w:beforeLines="50" w:after="120" w:line="360" w:lineRule="auto"/>
        <w:jc w:val="center"/>
        <w:outlineLvl w:val="1"/>
        <w:rPr>
          <w:rFonts w:hint="eastAsia" w:ascii="宋体" w:hAnsi="宋体" w:eastAsia="宋体" w:cs="Times New Roman"/>
          <w:b/>
          <w:kern w:val="0"/>
          <w:sz w:val="44"/>
          <w:szCs w:val="44"/>
        </w:rPr>
      </w:pPr>
      <w:r>
        <w:rPr>
          <w:rFonts w:hint="eastAsia" w:ascii="宋体" w:hAnsi="宋体" w:eastAsia="宋体" w:cs="Times New Roman"/>
          <w:b/>
          <w:kern w:val="0"/>
          <w:sz w:val="44"/>
          <w:szCs w:val="44"/>
        </w:rPr>
        <w:t>承诺函</w:t>
      </w:r>
    </w:p>
    <w:p w14:paraId="6E8E4B62">
      <w:pPr>
        <w:widowControl/>
        <w:adjustRightInd w:val="0"/>
        <w:snapToGrid w:val="0"/>
        <w:spacing w:before="156" w:beforeLines="50" w:after="120"/>
        <w:jc w:val="left"/>
        <w:rPr>
          <w:rFonts w:hint="eastAsia" w:ascii="宋体" w:hAnsi="宋体" w:eastAsia="宋体" w:cs="Times New Roman"/>
          <w:b/>
          <w:kern w:val="0"/>
          <w:sz w:val="24"/>
          <w:szCs w:val="24"/>
        </w:rPr>
      </w:pPr>
      <w:r>
        <w:rPr>
          <w:rFonts w:hint="eastAsia" w:ascii="宋体" w:hAnsi="宋体" w:eastAsia="宋体" w:cs="Times New Roman"/>
          <w:b/>
          <w:kern w:val="0"/>
          <w:sz w:val="24"/>
          <w:szCs w:val="24"/>
        </w:rPr>
        <w:t>致：中国石化扬子石油化工有限公司：</w:t>
      </w:r>
    </w:p>
    <w:p w14:paraId="63EEE908">
      <w:pPr>
        <w:widowControl/>
        <w:spacing w:after="120"/>
        <w:ind w:firstLine="482" w:firstLineChars="200"/>
        <w:jc w:val="left"/>
        <w:rPr>
          <w:rFonts w:hint="eastAsia" w:ascii="宋体" w:hAnsi="宋体" w:eastAsia="宋体" w:cs="Times New Roman"/>
          <w:b/>
          <w:kern w:val="0"/>
          <w:sz w:val="24"/>
          <w:szCs w:val="24"/>
        </w:rPr>
      </w:pPr>
      <w:r>
        <w:rPr>
          <w:rFonts w:hint="eastAsia" w:ascii="宋体" w:hAnsi="宋体" w:eastAsia="宋体" w:cs="Times New Roman"/>
          <w:b/>
          <w:kern w:val="0"/>
          <w:sz w:val="24"/>
          <w:szCs w:val="24"/>
        </w:rPr>
        <w:t>拍拍在线（北京）拍卖有限公司：</w:t>
      </w:r>
    </w:p>
    <w:p w14:paraId="5F6ED09D">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中国石化扬子石油化工有限公司持有的PTA二线和3#丁二烯报废资产一批（以下简称“标的资产”）网络拍卖竞价活动，本方同意如下：</w:t>
      </w:r>
    </w:p>
    <w:p w14:paraId="394608C7">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我方已进行并完成针对本项目标的的尽职勘验工作，充分了解并接受标的资产在</w:t>
      </w:r>
      <w:bookmarkStart w:id="0" w:name="OLE_LINK1"/>
      <w:r>
        <w:rPr>
          <w:rFonts w:hint="eastAsia" w:ascii="宋体" w:hAnsi="宋体" w:eastAsia="宋体" w:cs="Times New Roman"/>
          <w:kern w:val="0"/>
          <w:sz w:val="24"/>
          <w:szCs w:val="24"/>
        </w:rPr>
        <w:t>重庆联合产权交易所</w:t>
      </w:r>
      <w:bookmarkEnd w:id="0"/>
      <w:r>
        <w:rPr>
          <w:rFonts w:hint="eastAsia" w:ascii="宋体" w:hAnsi="宋体" w:eastAsia="宋体" w:cs="Times New Roman"/>
          <w:sz w:val="24"/>
          <w:szCs w:val="24"/>
        </w:rPr>
        <w:t>（</w:t>
      </w:r>
      <w:r>
        <w:rPr>
          <w:rFonts w:ascii="宋体" w:hAnsi="宋体" w:eastAsia="宋体" w:cs="Times New Roman"/>
          <w:sz w:val="24"/>
          <w:szCs w:val="24"/>
        </w:rPr>
        <w:t>https://www.cquae.com</w:t>
      </w:r>
      <w:r>
        <w:rPr>
          <w:rFonts w:hint="eastAsia" w:ascii="宋体" w:hAnsi="宋体" w:eastAsia="宋体" w:cs="Times New Roman"/>
          <w:sz w:val="24"/>
          <w:szCs w:val="24"/>
        </w:rPr>
        <w:t>）</w:t>
      </w:r>
      <w:r>
        <w:rPr>
          <w:rFonts w:hint="eastAsia" w:ascii="宋体" w:hAnsi="宋体" w:eastAsia="宋体" w:cs="Times New Roman"/>
          <w:kern w:val="0"/>
          <w:sz w:val="24"/>
          <w:szCs w:val="24"/>
        </w:rPr>
        <w:t>信息发布的全部内容和要求。所涉及标的资产严格以现场实物状态进行交易。我方办理竞价登记手续即视为对标的现状的充分了解与认可。</w:t>
      </w:r>
    </w:p>
    <w:p w14:paraId="144E7E7B">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我方已详细阅读本标的资产项目通过重庆联合产权交易所发布的交易条件和拍拍在线网络竞价平台发布的《竞买规则及须知》，包括转让方补充修改文件（如有）以及全部参考资料和有关附件。我方将自行承担因对交易条件及其附件不明或误解而产生的相应后果。同时我方充分理解转让方对本次受让资格确认所采取的程序性办法。我方在此不可撤销地放弃对相关程序性办法及相应安排提出任何异议的权力，并放弃因此而向转让方提出任何索赔的权力。</w:t>
      </w:r>
    </w:p>
    <w:p w14:paraId="5EF57318">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w:t>
      </w:r>
      <w:r>
        <w:rPr>
          <w:rFonts w:hint="eastAsia" w:ascii="宋体" w:hAnsi="宋体" w:eastAsia="宋体" w:cs="Times New Roman"/>
          <w:kern w:val="0"/>
          <w:sz w:val="24"/>
          <w:szCs w:val="24"/>
        </w:rPr>
        <w:t>我方在此承诺，为顺利完成本标的资产项目处置，本方（我公司）或以本方为主办方组成的联合体（应提供针对本项目的联合体协议）具备符合国家规定的资质、业绩要求，提供的证明文件真实有效。</w:t>
      </w:r>
    </w:p>
    <w:p w14:paraId="7D7B19DE">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w:t>
      </w:r>
      <w:r>
        <w:rPr>
          <w:rFonts w:hint="eastAsia" w:ascii="宋体" w:hAnsi="宋体" w:eastAsia="宋体" w:cs="Times New Roman"/>
          <w:kern w:val="0"/>
          <w:sz w:val="24"/>
          <w:szCs w:val="24"/>
        </w:rPr>
        <w:t>若我方提供的《安全拆除施工方案》中有违背国家、地方和行业相关法律法规规定，在收到转让方书面告知后三个工作日内未提交修改后的《安全施工方案》时，我方同意承担违约责任。</w:t>
      </w:r>
    </w:p>
    <w:p w14:paraId="4ECB89CB">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w:t>
      </w:r>
      <w:r>
        <w:rPr>
          <w:rFonts w:hint="eastAsia" w:ascii="宋体" w:hAnsi="宋体" w:eastAsia="宋体" w:cs="Times New Roman"/>
          <w:kern w:val="0"/>
          <w:sz w:val="24"/>
          <w:szCs w:val="24"/>
        </w:rPr>
        <w:t>出现下列情况之一者，我方自愿被扣除已交纳的交易保证金并承担相应违约责任：</w:t>
      </w:r>
      <w:bookmarkStart w:id="1" w:name="_Hlt36897317"/>
      <w:bookmarkEnd w:id="1"/>
      <w:r>
        <w:rPr>
          <w:rFonts w:hint="eastAsia" w:ascii="宋体" w:hAnsi="宋体" w:eastAsia="宋体" w:cs="Times New Roman"/>
          <w:kern w:val="0"/>
          <w:sz w:val="24"/>
          <w:szCs w:val="24"/>
        </w:rPr>
        <w:t>①经合规程序被确定为最终买受人后未能按时签订相关《实物资产交易合同》的（以转让方提供为准）；②进入竞价程序，如所有竞买人均无应价的；③《竞买须知及规则》中规定的竞买人违约的其他情况。</w:t>
      </w:r>
    </w:p>
    <w:p w14:paraId="7171FFDE">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6.</w:t>
      </w:r>
      <w:r>
        <w:rPr>
          <w:rFonts w:hint="eastAsia" w:ascii="宋体" w:hAnsi="宋体" w:eastAsia="宋体" w:cs="Times New Roman"/>
          <w:kern w:val="0"/>
          <w:sz w:val="24"/>
          <w:szCs w:val="24"/>
        </w:rPr>
        <w:t>我方同意，发生违约行为，无条件同意转让方收回标的再行处置。</w:t>
      </w:r>
    </w:p>
    <w:p w14:paraId="3D71E0A8">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7.</w:t>
      </w:r>
      <w:r>
        <w:rPr>
          <w:rFonts w:hint="eastAsia" w:ascii="宋体" w:hAnsi="宋体" w:eastAsia="宋体" w:cs="Times New Roman"/>
          <w:kern w:val="0"/>
          <w:sz w:val="24"/>
          <w:szCs w:val="24"/>
        </w:rPr>
        <w:t>我方同意，我方被确定为买受人后（适用于协议转让方式成交和拍卖竞价方式成交），因本方原因未履行《竞买须知及规则》规定而违约时，仍交纳本次交易中买受人应当支付的交易服务费。</w:t>
      </w:r>
    </w:p>
    <w:p w14:paraId="54C4745B">
      <w:pPr>
        <w:jc w:val="center"/>
        <w:rPr>
          <w:rFonts w:hint="eastAsia" w:ascii="宋体" w:hAnsi="宋体" w:eastAsia="宋体" w:cs="Times New Roman"/>
          <w:sz w:val="24"/>
          <w:szCs w:val="24"/>
        </w:rPr>
      </w:pPr>
      <w:bookmarkStart w:id="2" w:name="_Toc487410356"/>
    </w:p>
    <w:p w14:paraId="698AB356">
      <w:pPr>
        <w:ind w:firstLine="480" w:firstLineChars="200"/>
        <w:rPr>
          <w:rFonts w:ascii="Calibri" w:hAnsi="Calibri" w:eastAsia="宋体" w:cs="Times New Roman"/>
          <w:b/>
          <w:bCs/>
          <w:sz w:val="24"/>
          <w:szCs w:val="24"/>
        </w:rPr>
      </w:pPr>
      <w:r>
        <w:rPr>
          <w:rFonts w:hint="eastAsia" w:ascii="宋体" w:hAnsi="宋体" w:eastAsia="宋体" w:cs="Times New Roman"/>
          <w:sz w:val="24"/>
          <w:szCs w:val="24"/>
        </w:rPr>
        <w:t>竞买人（签字并盖章）：</w:t>
      </w:r>
    </w:p>
    <w:p w14:paraId="0FB0B368">
      <w:pPr>
        <w:jc w:val="center"/>
        <w:rPr>
          <w:rFonts w:ascii="Tahoma" w:hAnsi="Tahoma" w:eastAsia="宋体" w:cs="Tahoma"/>
          <w:b/>
          <w:color w:val="000000"/>
          <w:sz w:val="32"/>
          <w:szCs w:val="32"/>
        </w:rPr>
      </w:pPr>
    </w:p>
    <w:p w14:paraId="0C74EEDA">
      <w:pPr>
        <w:jc w:val="center"/>
        <w:rPr>
          <w:rFonts w:ascii="Tahoma" w:hAnsi="Tahoma" w:eastAsia="宋体" w:cs="Tahoma"/>
          <w:b/>
          <w:color w:val="000000"/>
          <w:sz w:val="32"/>
          <w:szCs w:val="32"/>
        </w:rPr>
      </w:pPr>
    </w:p>
    <w:p w14:paraId="0A10EE22">
      <w:pPr>
        <w:rPr>
          <w:rFonts w:ascii="Tahoma" w:hAnsi="Tahoma" w:eastAsia="宋体" w:cs="Tahoma"/>
          <w:b/>
          <w:color w:val="000000"/>
          <w:sz w:val="32"/>
          <w:szCs w:val="32"/>
        </w:rPr>
      </w:pPr>
    </w:p>
    <w:p w14:paraId="08DF6949">
      <w:pPr>
        <w:jc w:val="center"/>
        <w:rPr>
          <w:rFonts w:ascii="Tahoma" w:hAnsi="Tahoma" w:eastAsia="宋体" w:cs="Tahoma"/>
          <w:b/>
          <w:color w:val="000000"/>
          <w:sz w:val="24"/>
          <w:szCs w:val="24"/>
        </w:rPr>
      </w:pPr>
      <w:r>
        <w:rPr>
          <w:rFonts w:hint="eastAsia" w:ascii="Tahoma" w:hAnsi="Tahoma" w:eastAsia="宋体" w:cs="Tahoma"/>
          <w:b/>
          <w:color w:val="000000"/>
          <w:sz w:val="24"/>
          <w:szCs w:val="24"/>
        </w:rPr>
        <w:t>竞买须知及规则</w:t>
      </w:r>
    </w:p>
    <w:p w14:paraId="7DD6DA73">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为切实保障拍卖当事人的权利和义务，根据《中华人民共和国拍卖法》、《企业国有资产交易监督管理办法》、《中华人民共和国电子商务法》等法律法规，本着公开、公平、公正、诚实信用的原则，特制定本须知及规则，共同遵守。</w:t>
      </w:r>
    </w:p>
    <w:p w14:paraId="3687722D">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1、本次网络竞价活动在公开、平等竞争的条件下进行，一切活动都具备法律效力。</w:t>
      </w:r>
    </w:p>
    <w:p w14:paraId="053400B1">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竞买人条件：</w:t>
      </w:r>
      <w:r>
        <w:rPr>
          <w:rFonts w:hint="eastAsia" w:ascii="宋体" w:hAnsi="宋体" w:eastAsia="宋体" w:cs="Times New Roman"/>
          <w:kern w:val="0"/>
          <w:sz w:val="24"/>
          <w:szCs w:val="24"/>
        </w:rPr>
        <w:t>中华人民共和国境内注册成立并合法存续的法人。</w:t>
      </w:r>
    </w:p>
    <w:p w14:paraId="370B3FB2">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转让标的资产采取拆卖一体确定最终买受人，可接受联合体方式受让该标的资产，联合体成员不超过两家且任意一方不得重复组建联合体。</w:t>
      </w:r>
    </w:p>
    <w:p w14:paraId="74B7154D">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①单独受让。意向买受人须具有石油化工工程施工总承包壹级及以上、建筑工程施工总承包贰级及以上资质，且经营范围包含废旧物资回收或再生资源回收利用资质。</w:t>
      </w:r>
    </w:p>
    <w:p w14:paraId="3F466993">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②联合体受让。须签订联合受让协议，一方具有石油化工工程施工总承包壹级及以上、建筑工程施工总承包贰级及以上资质，一方经营范围包含废旧物资回收或再生资源回收利用资质。</w:t>
      </w:r>
    </w:p>
    <w:p w14:paraId="261A9482">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、意向竞买人应在披露期满后第1个工作日24时前（以到账为准）</w:t>
      </w:r>
      <w:r>
        <w:rPr>
          <w:rFonts w:ascii="宋体" w:hAnsi="宋体" w:eastAsia="宋体" w:cs="Times New Roman"/>
          <w:kern w:val="0"/>
          <w:sz w:val="24"/>
          <w:szCs w:val="24"/>
        </w:rPr>
        <w:t>支付交易保证金到</w:t>
      </w:r>
      <w:r>
        <w:rPr>
          <w:rFonts w:hint="eastAsia" w:ascii="宋体" w:hAnsi="宋体" w:eastAsia="宋体" w:cs="Times New Roman"/>
          <w:kern w:val="0"/>
          <w:sz w:val="24"/>
          <w:szCs w:val="24"/>
        </w:rPr>
        <w:t>重庆联合产权交易所</w:t>
      </w:r>
      <w:r>
        <w:rPr>
          <w:rFonts w:ascii="宋体" w:hAnsi="宋体" w:eastAsia="宋体" w:cs="Times New Roman"/>
          <w:kern w:val="0"/>
          <w:sz w:val="24"/>
          <w:szCs w:val="24"/>
        </w:rPr>
        <w:t>指定的银行账户</w:t>
      </w:r>
      <w:r>
        <w:rPr>
          <w:rFonts w:hint="eastAsia" w:ascii="宋体" w:hAnsi="宋体" w:eastAsia="宋体" w:cs="Times New Roman"/>
          <w:kern w:val="0"/>
          <w:sz w:val="24"/>
          <w:szCs w:val="24"/>
        </w:rPr>
        <w:t>。</w:t>
      </w:r>
    </w:p>
    <w:p w14:paraId="237D5424">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意向竞买人应在信息披露截止日前在重庆联合产权交易所办理办报名手续，包括提交《现场踏勘确认书》、《受让申请书》、《安全拆除实施方案》及其附件材料等其他所需材料。意向竞买人向重庆联合产权交易所提交《受让申请书》及相关材料、交纳保证金的行为，是对交易条件和转让底价的认可和接受。</w:t>
      </w:r>
    </w:p>
    <w:p w14:paraId="2D7BD634">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5</w:t>
      </w:r>
      <w:r>
        <w:rPr>
          <w:rFonts w:hint="eastAsia" w:ascii="宋体" w:hAnsi="宋体" w:eastAsia="宋体" w:cs="Times New Roman"/>
          <w:kern w:val="0"/>
          <w:sz w:val="24"/>
          <w:szCs w:val="24"/>
        </w:rPr>
        <w:t>、意向竞买人在</w:t>
      </w:r>
      <w:bookmarkStart w:id="3" w:name="_Hlk194918285"/>
      <w:r>
        <w:rPr>
          <w:rFonts w:hint="eastAsia" w:ascii="宋体" w:hAnsi="宋体" w:eastAsia="宋体" w:cs="Times New Roman"/>
          <w:kern w:val="0"/>
          <w:sz w:val="24"/>
          <w:szCs w:val="24"/>
        </w:rPr>
        <w:t>2025年4月30日</w:t>
      </w:r>
      <w:bookmarkEnd w:id="3"/>
      <w:r>
        <w:rPr>
          <w:rFonts w:hint="eastAsia" w:ascii="宋体" w:hAnsi="宋体" w:eastAsia="宋体" w:cs="Times New Roman"/>
          <w:kern w:val="0"/>
          <w:sz w:val="24"/>
          <w:szCs w:val="24"/>
        </w:rPr>
        <w:t>9时</w:t>
      </w:r>
      <w:r>
        <w:rPr>
          <w:rFonts w:hint="eastAsia" w:ascii="宋体" w:hAnsi="宋体" w:eastAsia="宋体" w:cs="Times New Roman"/>
          <w:kern w:val="0"/>
          <w:sz w:val="24"/>
          <w:szCs w:val="24"/>
          <w:lang w:val="en-US" w:eastAsia="zh-CN"/>
        </w:rPr>
        <w:t>00</w:t>
      </w:r>
      <w:r>
        <w:rPr>
          <w:rFonts w:hint="eastAsia" w:ascii="宋体" w:hAnsi="宋体" w:eastAsia="宋体" w:cs="Times New Roman"/>
          <w:kern w:val="0"/>
          <w:sz w:val="24"/>
          <w:szCs w:val="24"/>
        </w:rPr>
        <w:t>分前自行将重庆联合产权交易所受让报名手机号登录拍拍在线平台产权交易机构项目竞拍登录入口获取验证码完成竞买登记手续。</w:t>
      </w:r>
    </w:p>
    <w:p w14:paraId="03B5DA00">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出价活动分为两个竞价期，即自由竞价期和限时竞价期。</w:t>
      </w:r>
    </w:p>
    <w:p w14:paraId="393327FA">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自由竞价期：</w:t>
      </w:r>
      <w:r>
        <w:rPr>
          <w:rFonts w:hint="eastAsia" w:ascii="宋体" w:hAnsi="宋体" w:eastAsia="宋体" w:cs="Times New Roman"/>
          <w:kern w:val="0"/>
          <w:sz w:val="24"/>
          <w:szCs w:val="24"/>
        </w:rPr>
        <w:t>2025年4月30日9时30分至10时</w:t>
      </w:r>
      <w:r>
        <w:rPr>
          <w:rFonts w:ascii="宋体" w:hAnsi="宋体" w:eastAsia="宋体" w:cs="Times New Roman"/>
          <w:kern w:val="0"/>
          <w:sz w:val="24"/>
          <w:szCs w:val="24"/>
        </w:rPr>
        <w:t>。在此期间，竞买人按照规定的加价规则进行有效报价</w:t>
      </w:r>
      <w:bookmarkStart w:id="6" w:name="_GoBack"/>
      <w:bookmarkEnd w:id="6"/>
      <w:r>
        <w:rPr>
          <w:rFonts w:ascii="宋体" w:hAnsi="宋体" w:eastAsia="宋体" w:cs="Times New Roman"/>
          <w:kern w:val="0"/>
          <w:sz w:val="24"/>
          <w:szCs w:val="24"/>
        </w:rPr>
        <w:t>。</w:t>
      </w:r>
    </w:p>
    <w:p w14:paraId="5A2B8833">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r>
        <w:rPr>
          <w:rFonts w:hint="eastAsia" w:ascii="宋体" w:hAnsi="宋体" w:eastAsia="宋体" w:cs="Times New Roman"/>
          <w:kern w:val="0"/>
          <w:sz w:val="24"/>
          <w:szCs w:val="24"/>
        </w:rPr>
        <w:t>当前最高出价的竞买人成为本项目的买受人。</w:t>
      </w:r>
    </w:p>
    <w:p w14:paraId="20B265E5">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7、竞价过程中，竞买人要认真严肃地进行报价并为自己的报价行为付相应的法律责任。</w:t>
      </w:r>
    </w:p>
    <w:p w14:paraId="34FF3BD8">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8、买受人</w:t>
      </w:r>
      <w:r>
        <w:rPr>
          <w:rFonts w:ascii="宋体" w:hAnsi="宋体" w:eastAsia="宋体" w:cs="Times New Roman"/>
          <w:kern w:val="0"/>
          <w:sz w:val="24"/>
          <w:szCs w:val="24"/>
        </w:rPr>
        <w:t>须于拍卖成交后5个工作日内签署《拍卖笔录》、《成交确认书》</w:t>
      </w:r>
      <w:r>
        <w:rPr>
          <w:rFonts w:hint="eastAsia" w:ascii="宋体" w:hAnsi="宋体" w:eastAsia="宋体" w:cs="Times New Roman"/>
          <w:kern w:val="0"/>
          <w:sz w:val="24"/>
          <w:szCs w:val="24"/>
        </w:rPr>
        <w:t>、</w:t>
      </w:r>
      <w:r>
        <w:rPr>
          <w:rFonts w:ascii="宋体" w:hAnsi="宋体" w:eastAsia="宋体" w:cs="Times New Roman"/>
          <w:kern w:val="0"/>
          <w:sz w:val="24"/>
          <w:szCs w:val="24"/>
        </w:rPr>
        <w:t>与转让方签订</w:t>
      </w:r>
      <w:r>
        <w:rPr>
          <w:rFonts w:hint="eastAsia" w:ascii="宋体" w:hAnsi="宋体" w:eastAsia="宋体" w:cs="Times New Roman"/>
          <w:kern w:val="0"/>
          <w:sz w:val="24"/>
          <w:szCs w:val="24"/>
        </w:rPr>
        <w:t>《实物资产交易合同》</w:t>
      </w:r>
      <w:r>
        <w:rPr>
          <w:rFonts w:ascii="宋体" w:hAnsi="宋体" w:eastAsia="宋体" w:cs="Times New Roman"/>
          <w:kern w:val="0"/>
          <w:sz w:val="24"/>
          <w:szCs w:val="24"/>
        </w:rPr>
        <w:t>，在合同生效之日起5个工作日内将剩余交易价款</w:t>
      </w:r>
      <w:r>
        <w:rPr>
          <w:rFonts w:hint="eastAsia" w:ascii="宋体" w:hAnsi="宋体" w:eastAsia="宋体" w:cs="Times New Roman"/>
          <w:kern w:val="0"/>
          <w:sz w:val="24"/>
          <w:szCs w:val="24"/>
        </w:rPr>
        <w:t>、应付税金、履约保证金、重庆联合产权交易所</w:t>
      </w:r>
      <w:r>
        <w:rPr>
          <w:rFonts w:ascii="宋体" w:hAnsi="宋体" w:eastAsia="宋体" w:cs="Times New Roman"/>
          <w:kern w:val="0"/>
          <w:sz w:val="24"/>
          <w:szCs w:val="24"/>
        </w:rPr>
        <w:t>交易服务费</w:t>
      </w:r>
      <w:r>
        <w:rPr>
          <w:rFonts w:hint="eastAsia" w:ascii="宋体" w:hAnsi="宋体" w:eastAsia="宋体" w:cs="Times New Roman"/>
          <w:kern w:val="0"/>
          <w:sz w:val="24"/>
          <w:szCs w:val="24"/>
        </w:rPr>
        <w:t>、易派客电子商务有限公司服务费、拍拍在线（北京）拍卖有限公司服务费</w:t>
      </w:r>
      <w:r>
        <w:rPr>
          <w:rFonts w:ascii="宋体" w:hAnsi="宋体" w:eastAsia="宋体" w:cs="Times New Roman"/>
          <w:kern w:val="0"/>
          <w:sz w:val="24"/>
          <w:szCs w:val="24"/>
        </w:rPr>
        <w:t>一次性支付至指定账户。</w:t>
      </w:r>
    </w:p>
    <w:p w14:paraId="0FDF6046">
      <w:pPr>
        <w:widowControl/>
        <w:adjustRightInd w:val="0"/>
        <w:snapToGrid w:val="0"/>
        <w:spacing w:before="156" w:beforeLines="50" w:after="156" w:afterLines="50"/>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9、买受人须在《实物资产交易合同》签订之日起5个工作日内按转让方要求递交详细可行的《拆除施工方案》《拆除活动污染防治方案》《拆除活动环境应急预案》。上述方案须经转让方审核通过并经项目所在地应急管理部门和环境保护部门备案后才能进场施工（转让方审核并不减免受让方的一切安全、环保责任），如需完善、修改的乙方须在《资产交易合同》签订之日起10个工作日内按转让方要求完善、修改上述方案；买受人须在《实物资产交易合同》签订之日起15个工作日内完成施工人员健康体检、保险及入厂施工前一、二、三级安全教育；上述流程完成后，甲方将交易标的资产交付乙方，在交付之日起180个自然日内完成拆除清运工作。</w:t>
      </w:r>
    </w:p>
    <w:p w14:paraId="34855A2D">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0、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2058B1BB">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1、</w:t>
      </w:r>
      <w:bookmarkStart w:id="4" w:name="OLE_LINK2"/>
      <w:r>
        <w:rPr>
          <w:rFonts w:hint="eastAsia" w:ascii="Times New Roman" w:hAnsi="Times New Roman" w:eastAsia="宋体" w:cs="Times New Roman"/>
          <w:sz w:val="24"/>
        </w:rPr>
        <w:t>买受人与转让方签订《实物资产交易合同》后五个工作日内支付交易服务费（拍卖佣金），</w:t>
      </w:r>
      <w:r>
        <w:rPr>
          <w:rFonts w:hint="eastAsia" w:ascii="宋体" w:hAnsi="宋体" w:eastAsia="宋体" w:cs="Times New Roman"/>
          <w:kern w:val="0"/>
          <w:sz w:val="24"/>
          <w:szCs w:val="24"/>
        </w:rPr>
        <w:t>交易服务费</w:t>
      </w:r>
      <w:r>
        <w:rPr>
          <w:rFonts w:hint="eastAsia" w:ascii="Times New Roman" w:hAnsi="Times New Roman" w:eastAsia="宋体" w:cs="Times New Roman"/>
          <w:sz w:val="24"/>
        </w:rPr>
        <w:t>（拍卖佣金）</w:t>
      </w:r>
      <w:r>
        <w:rPr>
          <w:rFonts w:hint="eastAsia" w:ascii="宋体" w:hAnsi="宋体" w:eastAsia="宋体" w:cs="Times New Roman"/>
          <w:kern w:val="0"/>
          <w:sz w:val="24"/>
          <w:szCs w:val="24"/>
        </w:rPr>
        <w:t>按成交金额（含税）的4%支付</w:t>
      </w:r>
      <w:bookmarkEnd w:id="4"/>
      <w:r>
        <w:rPr>
          <w:rFonts w:hint="eastAsia" w:ascii="宋体" w:hAnsi="宋体" w:eastAsia="宋体" w:cs="Times New Roman"/>
          <w:kern w:val="0"/>
          <w:sz w:val="24"/>
          <w:szCs w:val="24"/>
        </w:rPr>
        <w:t>，具体明细如下：</w:t>
      </w:r>
    </w:p>
    <w:p w14:paraId="05A7188C">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（1）买受人向重庆联合产权交易所支付</w:t>
      </w:r>
      <w:r>
        <w:rPr>
          <w:rFonts w:hint="eastAsia" w:ascii="Times New Roman" w:hAnsi="Times New Roman" w:eastAsia="宋体" w:cs="Times New Roman"/>
          <w:sz w:val="24"/>
        </w:rPr>
        <w:t>（成交金额+税金）</w:t>
      </w:r>
      <w:r>
        <w:rPr>
          <w:rFonts w:hint="eastAsia" w:ascii="宋体" w:hAnsi="宋体" w:eastAsia="宋体" w:cs="Times New Roman"/>
          <w:kern w:val="0"/>
          <w:sz w:val="24"/>
          <w:szCs w:val="24"/>
        </w:rPr>
        <w:t>0.09%的交易服务费，具体以重庆联合产权交易所出具的《项目缴款通知书》为准。</w:t>
      </w:r>
    </w:p>
    <w:p w14:paraId="76655C84">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（2）买受人以电汇的方式向易派客电子商务有限公司支付</w:t>
      </w:r>
      <w:r>
        <w:rPr>
          <w:rFonts w:hint="eastAsia" w:ascii="Times New Roman" w:hAnsi="Times New Roman" w:eastAsia="宋体" w:cs="Times New Roman"/>
          <w:sz w:val="24"/>
        </w:rPr>
        <w:t>（成交金额+税金）</w:t>
      </w:r>
      <w:r>
        <w:rPr>
          <w:rFonts w:hint="eastAsia" w:ascii="宋体" w:hAnsi="宋体" w:eastAsia="宋体" w:cs="Times New Roman"/>
          <w:kern w:val="0"/>
          <w:sz w:val="24"/>
          <w:szCs w:val="24"/>
        </w:rPr>
        <w:t>1.12%的交易服务费（拍卖佣金），账户信息如下：</w:t>
      </w:r>
    </w:p>
    <w:p w14:paraId="299B33DB">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公司名称：</w:t>
      </w:r>
      <w:bookmarkStart w:id="5" w:name="_Hlk194913251"/>
      <w:r>
        <w:rPr>
          <w:rFonts w:hint="eastAsia" w:ascii="宋体" w:hAnsi="宋体" w:eastAsia="宋体" w:cs="Times New Roman"/>
          <w:kern w:val="0"/>
          <w:sz w:val="24"/>
          <w:szCs w:val="24"/>
        </w:rPr>
        <w:t>易派客电子商务有限公司</w:t>
      </w:r>
      <w:bookmarkEnd w:id="5"/>
    </w:p>
    <w:p w14:paraId="422134CC">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开户行：中信银行北京分行营业部</w:t>
      </w:r>
    </w:p>
    <w:p w14:paraId="0EF34097">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账号：3110 7100 2501 0000 004</w:t>
      </w:r>
    </w:p>
    <w:p w14:paraId="2501A977">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（3）甲方以电汇的方式向拍拍在线（北京）拍卖有限公司支付</w:t>
      </w:r>
      <w:r>
        <w:rPr>
          <w:rFonts w:hint="eastAsia" w:ascii="Times New Roman" w:hAnsi="Times New Roman" w:eastAsia="宋体" w:cs="Times New Roman"/>
          <w:sz w:val="24"/>
        </w:rPr>
        <w:t>（成交金额+税金）</w:t>
      </w:r>
      <w:r>
        <w:rPr>
          <w:rFonts w:hint="eastAsia" w:ascii="宋体" w:hAnsi="宋体" w:eastAsia="宋体" w:cs="Times New Roman"/>
          <w:kern w:val="0"/>
          <w:sz w:val="24"/>
          <w:szCs w:val="24"/>
        </w:rPr>
        <w:t>2.79%的交易服务费（拍卖佣金），账户信息如下：</w:t>
      </w:r>
    </w:p>
    <w:p w14:paraId="4BCEEE15">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公司名称：拍拍在线（北京）拍卖有限公司</w:t>
      </w:r>
    </w:p>
    <w:p w14:paraId="5C9069C7">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开户行：中国工商银行股份有限公司北京新源里支行</w:t>
      </w:r>
    </w:p>
    <w:p w14:paraId="35967B6F">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账号：0200 2046 1900 0055 787</w:t>
      </w:r>
    </w:p>
    <w:p w14:paraId="311B7746">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12、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05BB7EF1">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13、</w:t>
      </w:r>
      <w:r>
        <w:rPr>
          <w:rFonts w:ascii="宋体" w:hAnsi="宋体" w:eastAsia="宋体" w:cs="Times New Roman"/>
          <w:kern w:val="0"/>
          <w:sz w:val="24"/>
          <w:szCs w:val="24"/>
        </w:rPr>
        <w:t>拍卖标的在</w:t>
      </w:r>
      <w:r>
        <w:rPr>
          <w:rFonts w:hint="eastAsia" w:ascii="宋体" w:hAnsi="宋体" w:eastAsia="宋体" w:cs="Times New Roman"/>
          <w:kern w:val="0"/>
          <w:sz w:val="24"/>
          <w:szCs w:val="24"/>
        </w:rPr>
        <w:t>重庆联合产权交易所</w:t>
      </w:r>
      <w:r>
        <w:rPr>
          <w:rFonts w:ascii="宋体" w:hAnsi="宋体" w:eastAsia="宋体" w:cs="Times New Roman"/>
          <w:kern w:val="0"/>
          <w:sz w:val="24"/>
          <w:szCs w:val="24"/>
        </w:rPr>
        <w:t>的资产转让信息披露公告及公示的相关文件是本拍卖规则的组成部分。</w:t>
      </w:r>
    </w:p>
    <w:p w14:paraId="0501941C">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14、</w:t>
      </w:r>
      <w:r>
        <w:rPr>
          <w:rFonts w:ascii="宋体" w:hAnsi="宋体" w:eastAsia="宋体" w:cs="Times New Roman"/>
          <w:kern w:val="0"/>
          <w:sz w:val="24"/>
          <w:szCs w:val="24"/>
        </w:rPr>
        <w:t>网络拍卖会过程中所涉及的时间，以拍拍在线平台系统服务器时间为准。因不可抗力、软硬件故障、非法入侵、恶意攻击等原因而导致拍拍在线平台系统异常、竞价活动中断的，</w:t>
      </w:r>
      <w:r>
        <w:rPr>
          <w:rFonts w:hint="eastAsia" w:ascii="宋体" w:hAnsi="宋体" w:eastAsia="宋体" w:cs="Times New Roman"/>
          <w:kern w:val="0"/>
          <w:sz w:val="24"/>
          <w:szCs w:val="24"/>
        </w:rPr>
        <w:t>拍拍在线（北京）拍卖有限公司等竞价组织方</w:t>
      </w:r>
      <w:r>
        <w:rPr>
          <w:rFonts w:ascii="宋体" w:hAnsi="宋体" w:eastAsia="宋体" w:cs="Times New Roman"/>
          <w:kern w:val="0"/>
          <w:sz w:val="24"/>
          <w:szCs w:val="24"/>
        </w:rPr>
        <w:t>不承担任何责任。拍卖公司将视情况组织继续报价或重新报价，并通知各竞买人。如当日无法重新启动拍卖，拍卖公司择期另行举行网络拍卖会。继续报价或重新报价的方式如下：</w:t>
      </w:r>
    </w:p>
    <w:p w14:paraId="7B862CE5">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报价记录可以恢复的，以中断时的最高有效报价为起始价继续报价；报价记录无法恢复的，以起拍价为起始价重新报价。继续报价或重新报价时将从自由竞价期开始。</w:t>
      </w:r>
    </w:p>
    <w:p w14:paraId="75132AA2">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15、</w:t>
      </w:r>
      <w:r>
        <w:rPr>
          <w:rFonts w:ascii="宋体" w:hAnsi="宋体" w:eastAsia="宋体" w:cs="Times New Roman"/>
          <w:kern w:val="0"/>
          <w:sz w:val="24"/>
          <w:szCs w:val="24"/>
        </w:rPr>
        <w:t>本规则未尽事宜，按照《中华人民共和国拍卖法》等相关法律法规办理。</w:t>
      </w:r>
    </w:p>
    <w:p w14:paraId="108EB46D">
      <w:pPr>
        <w:ind w:firstLine="480" w:firstLineChars="200"/>
        <w:rPr>
          <w:rFonts w:ascii="Calibri" w:hAnsi="Calibri" w:eastAsia="宋体" w:cs="Times New Roman"/>
          <w:b/>
          <w:bCs/>
          <w:sz w:val="24"/>
          <w:szCs w:val="24"/>
        </w:rPr>
      </w:pPr>
      <w:r>
        <w:rPr>
          <w:rFonts w:hint="eastAsia" w:ascii="宋体" w:hAnsi="宋体" w:eastAsia="宋体" w:cs="Times New Roman"/>
          <w:sz w:val="24"/>
          <w:szCs w:val="24"/>
        </w:rPr>
        <w:t>竞买人（签字并盖章）：</w:t>
      </w:r>
    </w:p>
    <w:p w14:paraId="7B576ED3">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p>
    <w:p w14:paraId="4BC01792">
      <w:pPr>
        <w:widowControl/>
        <w:adjustRightInd w:val="0"/>
        <w:snapToGrid w:val="0"/>
        <w:spacing w:before="156" w:beforeLines="50" w:after="156" w:afterLines="50"/>
        <w:jc w:val="left"/>
        <w:rPr>
          <w:rFonts w:hint="eastAsia" w:ascii="宋体" w:hAnsi="宋体" w:eastAsia="宋体" w:cs="Times New Roman"/>
          <w:kern w:val="0"/>
          <w:sz w:val="24"/>
          <w:szCs w:val="24"/>
        </w:rPr>
      </w:pPr>
    </w:p>
    <w:p w14:paraId="19ADCD49">
      <w:pPr>
        <w:jc w:val="center"/>
        <w:rPr>
          <w:rFonts w:ascii="Tahoma" w:hAnsi="Tahoma" w:eastAsia="宋体" w:cs="Tahoma"/>
          <w:b/>
          <w:color w:val="000000"/>
          <w:sz w:val="24"/>
          <w:szCs w:val="24"/>
        </w:rPr>
      </w:pPr>
      <w:r>
        <w:rPr>
          <w:rFonts w:hint="eastAsia" w:ascii="Tahoma" w:hAnsi="Tahoma" w:eastAsia="宋体" w:cs="Tahoma"/>
          <w:b/>
          <w:color w:val="000000"/>
          <w:sz w:val="24"/>
          <w:szCs w:val="24"/>
        </w:rPr>
        <w:t>重要提示</w:t>
      </w:r>
    </w:p>
    <w:p w14:paraId="3BA92ED4">
      <w:pPr>
        <w:jc w:val="center"/>
        <w:rPr>
          <w:rFonts w:ascii="Tahoma" w:hAnsi="Tahoma" w:eastAsia="宋体" w:cs="Tahoma"/>
          <w:b/>
          <w:color w:val="000000"/>
          <w:sz w:val="24"/>
          <w:szCs w:val="24"/>
        </w:rPr>
      </w:pPr>
    </w:p>
    <w:p w14:paraId="64765587">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本次交易标的资产以现场踏勘可见实物为准，按现状交易和移交。意向竞买人须实地踏勘详细了解标的情况及相关法律法规、政策规定、标的资产现状所涉及的一切风险后决定是否受让，并按照国家规定使用。转让方与重庆联交所不提供标的相关文字和技术资料、不提供标的购置发票、不保证标的名称、规格型号、生产厂家、质量、品质等。本次交易标的资产评估报告仅供参考，交易合同不因交易标的质量、用途、数量、面积和现状（包括物理现状及产权现状等现状）等误差而变更、解除或终止，转让价款不因交易标的质量、用途、数量、面积和现状（包括物理现状及产权现状等）等误差作调整。交易标的均已报废，不得再次、循环利用，因此造成的安全生产、设备损坏等损失和责任，由买受人承担。</w:t>
      </w:r>
    </w:p>
    <w:p w14:paraId="197E5270">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2、拆除的压力容器和工业管道等特种设备转运前需进行破口操作，在罐体（管道）任意位置切割直径不少于40cm任意形状孔洞，具体以转让方要求为准。</w:t>
      </w:r>
    </w:p>
    <w:p w14:paraId="071834CA">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报废装置内残余有含油污水、变压器油、蓄电池及其他危险废物的，拆除时必须采用专用收集器具分类回收、存放，不得洒落在现场。危废由转让方负责安排处置，转让方负责处置费用，买受人负责做好现场装车配合工作并承担装车相关费用。由于收集、存放不善造成的污染事件，责任由买受人承担。报废装置内残余有废保温材料、粉煤灰、灰渣及其他工业固体废物的，拆除时必须采用专用收集器具回收，并转运至合规场所暂存，不得洒落在现场。买受人负责工业固体废物清理、收集、暂存和合规处置工作，并承担全部费用，买受人需选择具备处置资质并经转让方认可的处置单位合规处置工业固体废物，处置过程接受转让方监督。由于收集、暂存、处置不善造成的环境事件，责任由买受人承担。</w:t>
      </w:r>
    </w:p>
    <w:p w14:paraId="1BA503DA">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涉及到建筑物留存的，施工以不破坏建筑物及构筑物为原则，因拆除设备需要破坏建筑物及构筑物主体机构的，需要转让方同意后方可施工，施工后予以原状修复，费用由买受人承担。拆除产生的砼、砖石、渣土等、灰、渣、浇注衬里、保温材料及其他等所有现场产生的建筑垃圾和其他一般固体废物，由买受人按照“随产随分”原则负责源头分拣、分类收集、内部转运、暂存、运输和合规处置工作，不得洒落在现场，全部费用由买受人承担。买受人应选择具备处置资质并经转让方认可的处置单位合规处置工业固体废物，并做好台账记录，处置过程接受转让方监督。产生的沟槽、坑洞、坑池等用土壤环保回填，确保拆除现场平整，并用统一绿色防尘网对拆除裸土区域内进行全覆盖，避免扬尘等环保违法行为发生。由于工业固体废物收集、暂存、运输、处置不善造成的环境事件，责任由买受人全部承担。</w:t>
      </w:r>
    </w:p>
    <w:p w14:paraId="0D9B44D1">
      <w:pPr>
        <w:jc w:val="center"/>
        <w:rPr>
          <w:rFonts w:ascii="Times New Roman" w:hAnsi="Times New Roman" w:eastAsia="宋体" w:cs="Times New Roman"/>
          <w:b/>
          <w:bCs/>
          <w:szCs w:val="20"/>
        </w:rPr>
      </w:pPr>
      <w:r>
        <w:rPr>
          <w:rFonts w:hint="eastAsia" w:ascii="Tahoma" w:hAnsi="Tahoma" w:eastAsia="宋体" w:cs="Tahoma"/>
          <w:b/>
          <w:color w:val="000000"/>
          <w:sz w:val="24"/>
          <w:szCs w:val="24"/>
        </w:rPr>
        <w:t>标的资产</w:t>
      </w:r>
    </w:p>
    <w:p w14:paraId="6B72B749">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标的资产名称：中国石化扬子石油化工有限公司持有的PTA二线和3#丁二烯报废资产一批</w:t>
      </w:r>
    </w:p>
    <w:p w14:paraId="5E1230AC">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本次转让的标的资产价格不含增值税，买受人须在《实物资产交易合同》签订之日起5个工作日内向转让方指定账户支付资产转让的税金，税金根据交易标的资产及价款，按照国家有关规定核定。</w:t>
      </w:r>
    </w:p>
    <w:p w14:paraId="0DD50307">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上传图片及视频信息仅供参考，买受人提取标的资产时以现场展示实际状态为准。</w:t>
      </w:r>
    </w:p>
    <w:p w14:paraId="7D2CD535">
      <w:pPr>
        <w:widowControl/>
        <w:adjustRightInd w:val="0"/>
        <w:snapToGrid w:val="0"/>
        <w:spacing w:before="156" w:beforeLines="50" w:after="156" w:afterLines="50"/>
        <w:ind w:firstLine="480" w:firstLineChars="200"/>
        <w:jc w:val="left"/>
        <w:rPr>
          <w:rStyle w:val="10"/>
          <w:rFonts w:ascii="Arial" w:hAnsi="Arial" w:cs="Arial"/>
          <w:b/>
          <w:bCs/>
          <w:color w:val="DF603F"/>
          <w:sz w:val="42"/>
          <w:szCs w:val="42"/>
          <w:shd w:val="clear" w:color="auto" w:fill="FFFFFF"/>
        </w:rPr>
      </w:pPr>
      <w:r>
        <w:rPr>
          <w:rFonts w:hint="eastAsia" w:ascii="宋体" w:hAnsi="宋体" w:eastAsia="宋体" w:cs="Times New Roman"/>
          <w:kern w:val="0"/>
          <w:sz w:val="24"/>
          <w:szCs w:val="24"/>
        </w:rPr>
        <w:t>起 拍 价：</w:t>
      </w:r>
      <w:r>
        <w:rPr>
          <w:rFonts w:hint="eastAsia" w:ascii="宋体" w:hAnsi="宋体"/>
          <w:sz w:val="24"/>
        </w:rPr>
        <w:t>7119.11万元</w:t>
      </w:r>
    </w:p>
    <w:p w14:paraId="5475FE56">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报价方式：网络报价</w:t>
      </w:r>
    </w:p>
    <w:p w14:paraId="4DAAFBE3">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增加幅度：10万元</w:t>
      </w:r>
    </w:p>
    <w:p w14:paraId="338E1AB8">
      <w:pPr>
        <w:ind w:firstLine="482" w:firstLineChars="200"/>
        <w:rPr>
          <w:rFonts w:hint="eastAsia" w:ascii="宋体" w:hAnsi="宋体" w:eastAsia="宋体" w:cs="Times New Roman"/>
          <w:b/>
          <w:sz w:val="24"/>
          <w:szCs w:val="24"/>
        </w:rPr>
      </w:pPr>
      <w:r>
        <w:rPr>
          <w:rFonts w:ascii="宋体" w:hAnsi="宋体" w:eastAsia="宋体" w:cs="Times New Roman"/>
          <w:b/>
          <w:sz w:val="24"/>
          <w:szCs w:val="24"/>
        </w:rPr>
        <w:t>综上所述</w:t>
      </w:r>
      <w:r>
        <w:rPr>
          <w:rFonts w:hint="eastAsia" w:ascii="宋体" w:hAnsi="宋体" w:eastAsia="宋体" w:cs="Times New Roman"/>
          <w:b/>
          <w:sz w:val="24"/>
          <w:szCs w:val="24"/>
        </w:rPr>
        <w:t>，请竞买人谨慎报价。</w:t>
      </w:r>
    </w:p>
    <w:p w14:paraId="6DA3C3DB">
      <w:pPr>
        <w:ind w:firstLine="480" w:firstLineChars="200"/>
        <w:rPr>
          <w:rFonts w:ascii="Calibri" w:hAnsi="Calibri" w:eastAsia="宋体" w:cs="Times New Roman"/>
          <w:b/>
          <w:bCs/>
          <w:sz w:val="24"/>
          <w:szCs w:val="24"/>
        </w:rPr>
      </w:pPr>
      <w:r>
        <w:rPr>
          <w:rFonts w:hint="eastAsia" w:ascii="宋体" w:hAnsi="宋体" w:eastAsia="宋体" w:cs="Times New Roman"/>
          <w:sz w:val="24"/>
          <w:szCs w:val="24"/>
        </w:rPr>
        <w:t>竞买人（签字并盖章）：</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09"/>
    <w:rsid w:val="00015EDA"/>
    <w:rsid w:val="00046176"/>
    <w:rsid w:val="0006302A"/>
    <w:rsid w:val="00065EF3"/>
    <w:rsid w:val="00121B1D"/>
    <w:rsid w:val="00121BE1"/>
    <w:rsid w:val="00124869"/>
    <w:rsid w:val="0015346A"/>
    <w:rsid w:val="0017418A"/>
    <w:rsid w:val="0018080E"/>
    <w:rsid w:val="001869A2"/>
    <w:rsid w:val="001A5083"/>
    <w:rsid w:val="001B4713"/>
    <w:rsid w:val="001F1B98"/>
    <w:rsid w:val="001F7E52"/>
    <w:rsid w:val="00214BC1"/>
    <w:rsid w:val="00231EA1"/>
    <w:rsid w:val="0028426A"/>
    <w:rsid w:val="00353D41"/>
    <w:rsid w:val="003B3063"/>
    <w:rsid w:val="003D414C"/>
    <w:rsid w:val="00413C6C"/>
    <w:rsid w:val="00451B19"/>
    <w:rsid w:val="004741E1"/>
    <w:rsid w:val="00536814"/>
    <w:rsid w:val="00586A10"/>
    <w:rsid w:val="005D17B9"/>
    <w:rsid w:val="00640A4C"/>
    <w:rsid w:val="00663E2C"/>
    <w:rsid w:val="006A2216"/>
    <w:rsid w:val="006B6412"/>
    <w:rsid w:val="006B6CE3"/>
    <w:rsid w:val="006D403D"/>
    <w:rsid w:val="007148A3"/>
    <w:rsid w:val="0073495D"/>
    <w:rsid w:val="00773CE5"/>
    <w:rsid w:val="007C1E9A"/>
    <w:rsid w:val="007C3F0B"/>
    <w:rsid w:val="007D700F"/>
    <w:rsid w:val="007E62F4"/>
    <w:rsid w:val="007F305C"/>
    <w:rsid w:val="007F5428"/>
    <w:rsid w:val="008048A7"/>
    <w:rsid w:val="008148DA"/>
    <w:rsid w:val="00816F49"/>
    <w:rsid w:val="008262E2"/>
    <w:rsid w:val="008A7965"/>
    <w:rsid w:val="008C32EE"/>
    <w:rsid w:val="009107CC"/>
    <w:rsid w:val="009205A5"/>
    <w:rsid w:val="00927A01"/>
    <w:rsid w:val="00941110"/>
    <w:rsid w:val="00955AC3"/>
    <w:rsid w:val="00983D64"/>
    <w:rsid w:val="0099776C"/>
    <w:rsid w:val="009F7BF0"/>
    <w:rsid w:val="00AB19EE"/>
    <w:rsid w:val="00B06781"/>
    <w:rsid w:val="00B162DE"/>
    <w:rsid w:val="00B46921"/>
    <w:rsid w:val="00BB68B0"/>
    <w:rsid w:val="00BF6E0F"/>
    <w:rsid w:val="00C0644D"/>
    <w:rsid w:val="00C134EF"/>
    <w:rsid w:val="00C137FB"/>
    <w:rsid w:val="00C447FD"/>
    <w:rsid w:val="00C87F09"/>
    <w:rsid w:val="00C91D3A"/>
    <w:rsid w:val="00CB4844"/>
    <w:rsid w:val="00CE7CE4"/>
    <w:rsid w:val="00D22924"/>
    <w:rsid w:val="00D5280A"/>
    <w:rsid w:val="00D81CF9"/>
    <w:rsid w:val="00D97283"/>
    <w:rsid w:val="00E1262E"/>
    <w:rsid w:val="00E17DD8"/>
    <w:rsid w:val="00E40CA1"/>
    <w:rsid w:val="00E82F80"/>
    <w:rsid w:val="00E8560F"/>
    <w:rsid w:val="00F02F8B"/>
    <w:rsid w:val="00F42DF6"/>
    <w:rsid w:val="00F67338"/>
    <w:rsid w:val="00F851E8"/>
    <w:rsid w:val="043575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 w:type="character" w:customStyle="1" w:styleId="10">
    <w:name w:val="js_listingpriceunits"/>
    <w:basedOn w:val="5"/>
    <w:uiPriority w:val="0"/>
  </w:style>
  <w:style w:type="character" w:customStyle="1" w:styleId="11">
    <w:name w:val="Unresolved Mention"/>
    <w:basedOn w:val="5"/>
    <w:semiHidden/>
    <w:unhideWhenUsed/>
    <w:uiPriority w:val="99"/>
    <w:rPr>
      <w:color w:val="605E5C"/>
      <w:shd w:val="clear" w:color="auto" w:fill="E1DFDD"/>
    </w:rPr>
  </w:style>
  <w:style w:type="paragraph" w:customStyle="1" w:styleId="12">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1565</Words>
  <Characters>1607</Characters>
  <Lines>101</Lines>
  <Paragraphs>66</Paragraphs>
  <TotalTime>174</TotalTime>
  <ScaleCrop>false</ScaleCrop>
  <LinksUpToDate>false</LinksUpToDate>
  <CharactersWithSpaces>1611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2024-03-04T09:40:00Z</dcterms:created>
  <dc:creator>win</dc:creator>
  <cp:lastModifiedBy>训饺盏卵春</cp:lastModifiedBy>
  <dcterms:modified xsi:type="dcterms:W3CDTF">2025-04-07T05:54:56Z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eyJoZGlkIjoiZGJlNmFkOWQ5YTgxZTJiODFlNzVjZDg3YWY2NTA0NjMiLCJ1c2VySWQiOiIxNjY1OTgzODE3In0=</vt:lpwstr>
  </property>
  <property fmtid="{D5CDD505-2E9C-101B-9397-08002B2CF9AE}" pid="3" name="KSOProductBuildVer">
    <vt:lpwstr>2052-12.1.0.20784</vt:lpwstr>
  </property>
  <property fmtid="{D5CDD505-2E9C-101B-9397-08002B2CF9AE}" pid="4" name="ICV">
    <vt:lpwstr>938C49A93847434D97545F7BA2671FAA_12</vt:lpwstr>
  </property>
</Properties>
</file>