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B9B9" w14:textId="77777777" w:rsidR="00632139" w:rsidRDefault="00632139">
      <w:pPr>
        <w:widowControl/>
        <w:adjustRightInd w:val="0"/>
        <w:snapToGrid w:val="0"/>
        <w:spacing w:beforeLines="50" w:before="156" w:after="120" w:line="360" w:lineRule="auto"/>
        <w:jc w:val="left"/>
        <w:outlineLvl w:val="1"/>
        <w:rPr>
          <w:rFonts w:ascii="宋体" w:eastAsia="宋体" w:hAnsi="宋体" w:cs="Times New Roman" w:hint="eastAsia"/>
          <w:kern w:val="0"/>
          <w:sz w:val="28"/>
          <w:szCs w:val="28"/>
        </w:rPr>
      </w:pPr>
    </w:p>
    <w:p w14:paraId="7F70CEA3" w14:textId="77777777" w:rsidR="00632139" w:rsidRDefault="00632139">
      <w:pPr>
        <w:widowControl/>
        <w:adjustRightInd w:val="0"/>
        <w:snapToGrid w:val="0"/>
        <w:spacing w:beforeLines="50" w:before="156" w:after="120" w:line="360" w:lineRule="auto"/>
        <w:jc w:val="left"/>
        <w:outlineLvl w:val="1"/>
        <w:rPr>
          <w:rFonts w:ascii="宋体" w:eastAsia="宋体" w:hAnsi="宋体" w:cs="Times New Roman" w:hint="eastAsia"/>
          <w:kern w:val="0"/>
          <w:sz w:val="28"/>
          <w:szCs w:val="28"/>
        </w:rPr>
      </w:pPr>
    </w:p>
    <w:p w14:paraId="25B43AA7" w14:textId="77777777" w:rsidR="00632139" w:rsidRDefault="00C60DEF">
      <w:pPr>
        <w:widowControl/>
        <w:adjustRightInd w:val="0"/>
        <w:snapToGrid w:val="0"/>
        <w:spacing w:beforeLines="50" w:before="156" w:after="120" w:line="360" w:lineRule="auto"/>
        <w:jc w:val="center"/>
        <w:rPr>
          <w:rFonts w:ascii="黑体" w:eastAsia="黑体" w:hAnsi="Calibri" w:cs="Times New Roman"/>
          <w:b/>
          <w:bCs/>
          <w:kern w:val="0"/>
          <w:sz w:val="32"/>
          <w:szCs w:val="32"/>
        </w:rPr>
      </w:pPr>
      <w:r>
        <w:rPr>
          <w:rFonts w:ascii="Calibri" w:eastAsia="黑体" w:hAnsi="Calibri" w:cs="Times New Roman" w:hint="eastAsia"/>
          <w:kern w:val="0"/>
          <w:sz w:val="72"/>
          <w:szCs w:val="24"/>
        </w:rPr>
        <w:t>竞买文件</w:t>
      </w:r>
    </w:p>
    <w:p w14:paraId="0E3AE0D4" w14:textId="77777777" w:rsidR="00632139" w:rsidRDefault="00632139">
      <w:pPr>
        <w:widowControl/>
        <w:adjustRightInd w:val="0"/>
        <w:snapToGrid w:val="0"/>
        <w:spacing w:beforeLines="50" w:before="156" w:afterLines="50" w:after="156" w:line="360" w:lineRule="auto"/>
        <w:ind w:firstLineChars="450" w:firstLine="1440"/>
        <w:jc w:val="left"/>
        <w:rPr>
          <w:rFonts w:ascii="Calibri" w:eastAsia="黑体" w:hAnsi="Calibri" w:cs="Times New Roman"/>
          <w:kern w:val="0"/>
          <w:sz w:val="32"/>
          <w:szCs w:val="24"/>
        </w:rPr>
      </w:pPr>
    </w:p>
    <w:p w14:paraId="03CFD56C" w14:textId="77777777" w:rsidR="00632139" w:rsidRDefault="00632139">
      <w:pPr>
        <w:widowControl/>
        <w:adjustRightInd w:val="0"/>
        <w:snapToGrid w:val="0"/>
        <w:spacing w:beforeLines="50" w:before="156" w:afterLines="50" w:after="156" w:line="360" w:lineRule="auto"/>
        <w:ind w:firstLineChars="450" w:firstLine="1440"/>
        <w:jc w:val="left"/>
        <w:rPr>
          <w:rFonts w:ascii="Calibri" w:eastAsia="黑体" w:hAnsi="Calibri" w:cs="Times New Roman"/>
          <w:kern w:val="0"/>
          <w:sz w:val="32"/>
          <w:szCs w:val="24"/>
        </w:rPr>
      </w:pPr>
    </w:p>
    <w:p w14:paraId="1995984A" w14:textId="4A6D3A4F" w:rsidR="00632139" w:rsidRDefault="00C60DEF">
      <w:pPr>
        <w:rPr>
          <w:rFonts w:ascii="黑体" w:eastAsia="黑体" w:hAnsi="黑体" w:cs="Times New Roman" w:hint="eastAsia"/>
          <w:sz w:val="36"/>
        </w:rPr>
      </w:pPr>
      <w:r>
        <w:rPr>
          <w:rFonts w:ascii="黑体" w:eastAsia="黑体" w:hAnsi="黑体" w:cs="Times New Roman"/>
          <w:sz w:val="36"/>
        </w:rPr>
        <w:t>项目名称：</w:t>
      </w:r>
      <w:r>
        <w:rPr>
          <w:rFonts w:ascii="黑体" w:eastAsia="黑体" w:hAnsi="黑体" w:cs="Times New Roman" w:hint="eastAsia"/>
          <w:sz w:val="36"/>
        </w:rPr>
        <w:t>拟报废处置PTA装置相关资产涉及的房屋构筑物及设备类实物资产</w:t>
      </w:r>
    </w:p>
    <w:p w14:paraId="7D1E0E30" w14:textId="77777777" w:rsidR="00632139" w:rsidRDefault="00632139">
      <w:pPr>
        <w:ind w:firstLineChars="150" w:firstLine="540"/>
        <w:rPr>
          <w:rFonts w:ascii="黑体" w:eastAsia="黑体" w:hAnsi="黑体" w:cs="Times New Roman"/>
          <w:sz w:val="36"/>
        </w:rPr>
      </w:pPr>
    </w:p>
    <w:p w14:paraId="763B6066" w14:textId="77777777" w:rsidR="0063211E" w:rsidRDefault="0063211E">
      <w:pPr>
        <w:ind w:firstLineChars="150" w:firstLine="540"/>
        <w:rPr>
          <w:rFonts w:ascii="黑体" w:eastAsia="黑体" w:hAnsi="黑体" w:cs="Times New Roman"/>
          <w:sz w:val="36"/>
        </w:rPr>
      </w:pPr>
    </w:p>
    <w:p w14:paraId="6EA0DE1A" w14:textId="77777777" w:rsidR="0063211E" w:rsidRPr="0063211E" w:rsidRDefault="0063211E">
      <w:pPr>
        <w:ind w:firstLineChars="150" w:firstLine="540"/>
        <w:rPr>
          <w:rFonts w:ascii="黑体" w:eastAsia="黑体" w:hAnsi="黑体" w:cs="Times New Roman" w:hint="eastAsia"/>
          <w:sz w:val="36"/>
        </w:rPr>
      </w:pPr>
    </w:p>
    <w:p w14:paraId="1B000DC0" w14:textId="77777777" w:rsidR="00632139" w:rsidRDefault="00C60DEF">
      <w:pPr>
        <w:widowControl/>
        <w:adjustRightInd w:val="0"/>
        <w:snapToGrid w:val="0"/>
        <w:spacing w:beforeLines="50" w:before="156" w:afterLines="50" w:after="156" w:line="360" w:lineRule="auto"/>
        <w:ind w:left="2340" w:hangingChars="650" w:hanging="2340"/>
        <w:jc w:val="left"/>
        <w:rPr>
          <w:rFonts w:ascii="黑体" w:eastAsia="黑体" w:hAnsi="黑体" w:cs="Times New Roman" w:hint="eastAsia"/>
          <w:kern w:val="0"/>
          <w:sz w:val="36"/>
          <w:szCs w:val="24"/>
          <w:u w:val="single"/>
        </w:rPr>
      </w:pPr>
      <w:r>
        <w:rPr>
          <w:rFonts w:ascii="黑体" w:eastAsia="黑体" w:hAnsi="黑体" w:cs="Times New Roman" w:hint="eastAsia"/>
          <w:kern w:val="0"/>
          <w:sz w:val="36"/>
          <w:szCs w:val="24"/>
        </w:rPr>
        <w:t>意向受让方名称（盖章）</w:t>
      </w:r>
      <w:r>
        <w:rPr>
          <w:rFonts w:ascii="黑体" w:eastAsia="黑体" w:hAnsi="黑体" w:cs="Times New Roman"/>
          <w:kern w:val="0"/>
          <w:sz w:val="36"/>
          <w:szCs w:val="24"/>
        </w:rPr>
        <w:t>：</w:t>
      </w:r>
    </w:p>
    <w:p w14:paraId="6C1C416F" w14:textId="77777777" w:rsidR="00632139" w:rsidRDefault="00632139">
      <w:pPr>
        <w:widowControl/>
        <w:adjustRightInd w:val="0"/>
        <w:snapToGrid w:val="0"/>
        <w:spacing w:beforeLines="50" w:before="156" w:afterLines="50" w:after="156" w:line="360" w:lineRule="auto"/>
        <w:ind w:firstLineChars="1200" w:firstLine="4320"/>
        <w:jc w:val="left"/>
        <w:rPr>
          <w:rFonts w:ascii="黑体" w:eastAsia="黑体" w:hAnsi="黑体" w:cs="Times New Roman" w:hint="eastAsia"/>
          <w:kern w:val="0"/>
          <w:sz w:val="36"/>
          <w:szCs w:val="24"/>
          <w:u w:val="single"/>
        </w:rPr>
      </w:pPr>
    </w:p>
    <w:p w14:paraId="1307327E" w14:textId="77777777" w:rsidR="00632139" w:rsidRDefault="00632139">
      <w:pPr>
        <w:widowControl/>
        <w:adjustRightInd w:val="0"/>
        <w:snapToGrid w:val="0"/>
        <w:spacing w:beforeLines="50" w:before="156" w:afterLines="50" w:after="156" w:line="360" w:lineRule="auto"/>
        <w:jc w:val="left"/>
        <w:rPr>
          <w:rFonts w:ascii="黑体" w:eastAsia="黑体" w:hAnsi="黑体" w:cs="Times New Roman" w:hint="eastAsia"/>
          <w:kern w:val="0"/>
          <w:sz w:val="36"/>
          <w:szCs w:val="24"/>
        </w:rPr>
      </w:pPr>
    </w:p>
    <w:p w14:paraId="1628C64C" w14:textId="77777777" w:rsidR="00632139" w:rsidRDefault="00C60DEF">
      <w:pPr>
        <w:widowControl/>
        <w:adjustRightInd w:val="0"/>
        <w:snapToGrid w:val="0"/>
        <w:spacing w:beforeLines="50" w:before="156" w:afterLines="50" w:after="156" w:line="360" w:lineRule="auto"/>
        <w:jc w:val="left"/>
        <w:rPr>
          <w:rFonts w:ascii="黑体" w:eastAsia="黑体" w:hAnsi="黑体" w:cs="Times New Roman" w:hint="eastAsia"/>
          <w:kern w:val="0"/>
          <w:sz w:val="36"/>
          <w:szCs w:val="24"/>
        </w:rPr>
      </w:pPr>
      <w:r>
        <w:rPr>
          <w:rFonts w:ascii="黑体" w:eastAsia="黑体" w:hAnsi="黑体" w:cs="Times New Roman"/>
          <w:kern w:val="0"/>
          <w:sz w:val="36"/>
          <w:szCs w:val="24"/>
        </w:rPr>
        <w:t>法 定 代 表 人</w:t>
      </w:r>
    </w:p>
    <w:p w14:paraId="354BFFC4" w14:textId="77777777" w:rsidR="00632139" w:rsidRDefault="00C60DEF">
      <w:pPr>
        <w:widowControl/>
        <w:adjustRightInd w:val="0"/>
        <w:snapToGrid w:val="0"/>
        <w:spacing w:beforeLines="50" w:before="156" w:afterLines="50" w:after="156" w:line="360" w:lineRule="auto"/>
        <w:jc w:val="left"/>
        <w:rPr>
          <w:rFonts w:ascii="黑体" w:eastAsia="黑体" w:hAnsi="黑体" w:cs="Times New Roman" w:hint="eastAsia"/>
          <w:kern w:val="0"/>
          <w:sz w:val="36"/>
          <w:szCs w:val="24"/>
          <w:u w:val="single"/>
        </w:rPr>
      </w:pPr>
      <w:r>
        <w:rPr>
          <w:rFonts w:ascii="黑体" w:eastAsia="黑体" w:hAnsi="黑体" w:cs="Times New Roman"/>
          <w:kern w:val="0"/>
          <w:sz w:val="36"/>
          <w:szCs w:val="24"/>
        </w:rPr>
        <w:t>或</w:t>
      </w:r>
      <w:r>
        <w:rPr>
          <w:rFonts w:ascii="黑体" w:eastAsia="黑体" w:hAnsi="黑体" w:cs="Times New Roman" w:hint="eastAsia"/>
          <w:kern w:val="0"/>
          <w:sz w:val="36"/>
          <w:szCs w:val="24"/>
        </w:rPr>
        <w:t>其授权代表</w:t>
      </w:r>
      <w:r>
        <w:rPr>
          <w:rFonts w:ascii="黑体" w:eastAsia="黑体" w:hAnsi="黑体" w:cs="Times New Roman"/>
          <w:kern w:val="0"/>
          <w:sz w:val="36"/>
          <w:szCs w:val="24"/>
        </w:rPr>
        <w:t>人（签</w:t>
      </w:r>
      <w:r>
        <w:rPr>
          <w:rFonts w:ascii="黑体" w:eastAsia="黑体" w:hAnsi="黑体" w:cs="Times New Roman" w:hint="eastAsia"/>
          <w:kern w:val="0"/>
          <w:sz w:val="36"/>
          <w:szCs w:val="24"/>
        </w:rPr>
        <w:t>字</w:t>
      </w:r>
      <w:r>
        <w:rPr>
          <w:rFonts w:ascii="黑体" w:eastAsia="黑体" w:hAnsi="黑体" w:cs="Times New Roman"/>
          <w:kern w:val="0"/>
          <w:sz w:val="36"/>
          <w:szCs w:val="24"/>
        </w:rPr>
        <w:t>）：</w:t>
      </w:r>
    </w:p>
    <w:p w14:paraId="3F9FD7D9" w14:textId="77777777" w:rsidR="00632139" w:rsidRDefault="00632139">
      <w:pPr>
        <w:widowControl/>
        <w:adjustRightInd w:val="0"/>
        <w:snapToGrid w:val="0"/>
        <w:spacing w:beforeLines="50" w:before="156" w:after="120" w:line="360" w:lineRule="auto"/>
        <w:jc w:val="center"/>
        <w:rPr>
          <w:rFonts w:ascii="Calibri" w:eastAsia="黑体" w:hAnsi="Calibri" w:cs="Times New Roman"/>
          <w:kern w:val="0"/>
          <w:sz w:val="32"/>
          <w:szCs w:val="24"/>
        </w:rPr>
      </w:pPr>
    </w:p>
    <w:p w14:paraId="69CAC057" w14:textId="2C757F49" w:rsidR="00632139" w:rsidRPr="0063211E" w:rsidRDefault="00C60DEF" w:rsidP="0063211E">
      <w:pPr>
        <w:widowControl/>
        <w:adjustRightInd w:val="0"/>
        <w:snapToGrid w:val="0"/>
        <w:spacing w:beforeLines="50" w:before="156" w:after="120" w:line="360" w:lineRule="auto"/>
        <w:jc w:val="center"/>
        <w:rPr>
          <w:rFonts w:ascii="Calibri" w:eastAsia="黑体" w:hAnsi="Calibri" w:cs="Times New Roman" w:hint="eastAsia"/>
          <w:kern w:val="0"/>
          <w:sz w:val="32"/>
          <w:szCs w:val="24"/>
        </w:rPr>
      </w:pPr>
      <w:r>
        <w:rPr>
          <w:rFonts w:ascii="Calibri" w:eastAsia="黑体" w:hAnsi="Calibri" w:cs="Times New Roman"/>
          <w:kern w:val="0"/>
          <w:sz w:val="32"/>
          <w:szCs w:val="24"/>
        </w:rPr>
        <w:t>日期：</w:t>
      </w:r>
      <w:r>
        <w:rPr>
          <w:rFonts w:ascii="Calibri" w:eastAsia="黑体" w:hAnsi="Calibri" w:cs="Times New Roman" w:hint="eastAsia"/>
          <w:kern w:val="0"/>
          <w:sz w:val="32"/>
          <w:szCs w:val="24"/>
        </w:rPr>
        <w:t>2025</w:t>
      </w:r>
      <w:r>
        <w:rPr>
          <w:rFonts w:ascii="Calibri" w:eastAsia="黑体" w:hAnsi="Calibri" w:cs="Times New Roman"/>
          <w:kern w:val="0"/>
          <w:sz w:val="32"/>
          <w:szCs w:val="24"/>
        </w:rPr>
        <w:t>年</w:t>
      </w:r>
      <w:r w:rsidR="00D2615D">
        <w:rPr>
          <w:rFonts w:ascii="Calibri" w:eastAsia="黑体" w:hAnsi="Calibri" w:cs="Times New Roman" w:hint="eastAsia"/>
          <w:kern w:val="0"/>
          <w:sz w:val="32"/>
          <w:szCs w:val="24"/>
        </w:rPr>
        <w:t>4</w:t>
      </w:r>
      <w:r>
        <w:rPr>
          <w:rFonts w:ascii="Calibri" w:eastAsia="黑体" w:hAnsi="Calibri" w:cs="Times New Roman"/>
          <w:kern w:val="0"/>
          <w:sz w:val="32"/>
          <w:szCs w:val="24"/>
        </w:rPr>
        <w:t>月</w:t>
      </w:r>
    </w:p>
    <w:p w14:paraId="3F31A4DB" w14:textId="77777777" w:rsidR="00632139" w:rsidRDefault="00C60DEF">
      <w:pPr>
        <w:widowControl/>
        <w:adjustRightInd w:val="0"/>
        <w:snapToGrid w:val="0"/>
        <w:spacing w:beforeLines="50" w:before="156" w:after="120" w:line="360" w:lineRule="auto"/>
        <w:jc w:val="center"/>
        <w:outlineLvl w:val="1"/>
        <w:rPr>
          <w:rFonts w:ascii="宋体" w:eastAsia="宋体" w:hAnsi="宋体" w:cs="Times New Roman" w:hint="eastAsia"/>
          <w:b/>
          <w:kern w:val="0"/>
          <w:sz w:val="44"/>
          <w:szCs w:val="44"/>
        </w:rPr>
      </w:pPr>
      <w:r>
        <w:rPr>
          <w:rFonts w:ascii="宋体" w:eastAsia="宋体" w:hAnsi="宋体" w:cs="Times New Roman" w:hint="eastAsia"/>
          <w:b/>
          <w:kern w:val="0"/>
          <w:sz w:val="44"/>
          <w:szCs w:val="44"/>
        </w:rPr>
        <w:lastRenderedPageBreak/>
        <w:t>承诺函</w:t>
      </w:r>
    </w:p>
    <w:p w14:paraId="6E8E4B62" w14:textId="77777777" w:rsidR="00632139" w:rsidRDefault="00C60DEF">
      <w:pPr>
        <w:widowControl/>
        <w:adjustRightInd w:val="0"/>
        <w:snapToGrid w:val="0"/>
        <w:spacing w:beforeLines="50" w:before="156" w:after="120"/>
        <w:jc w:val="left"/>
        <w:rPr>
          <w:rFonts w:ascii="宋体" w:eastAsia="宋体" w:hAnsi="宋体" w:cs="Times New Roman" w:hint="eastAsia"/>
          <w:b/>
          <w:kern w:val="0"/>
          <w:sz w:val="24"/>
          <w:szCs w:val="24"/>
        </w:rPr>
      </w:pPr>
      <w:r>
        <w:rPr>
          <w:rFonts w:ascii="宋体" w:eastAsia="宋体" w:hAnsi="宋体" w:cs="Times New Roman" w:hint="eastAsia"/>
          <w:b/>
          <w:kern w:val="0"/>
          <w:sz w:val="24"/>
          <w:szCs w:val="24"/>
        </w:rPr>
        <w:t>致：中石化（河南）炼油化工有限公司：</w:t>
      </w:r>
    </w:p>
    <w:p w14:paraId="63EEE908" w14:textId="77777777" w:rsidR="00632139" w:rsidRDefault="00C60DEF">
      <w:pPr>
        <w:widowControl/>
        <w:spacing w:after="120"/>
        <w:ind w:firstLineChars="200" w:firstLine="482"/>
        <w:jc w:val="left"/>
        <w:rPr>
          <w:rFonts w:ascii="宋体" w:eastAsia="宋体" w:hAnsi="宋体" w:cs="Times New Roman" w:hint="eastAsia"/>
          <w:b/>
          <w:kern w:val="0"/>
          <w:sz w:val="24"/>
          <w:szCs w:val="24"/>
        </w:rPr>
      </w:pPr>
      <w:r>
        <w:rPr>
          <w:rFonts w:ascii="宋体" w:eastAsia="宋体" w:hAnsi="宋体" w:cs="Times New Roman" w:hint="eastAsia"/>
          <w:b/>
          <w:kern w:val="0"/>
          <w:sz w:val="24"/>
          <w:szCs w:val="24"/>
        </w:rPr>
        <w:t>拍拍在线（北京）拍卖有限公司：</w:t>
      </w:r>
    </w:p>
    <w:p w14:paraId="5F6ED09D"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中石化（河南）炼油化工有限公司持有的PTA装置相关资产涉及的房屋构筑物及设备类实物资产（以下简称“标的资产”）网络拍卖竞价活动，本方同意如下：</w:t>
      </w:r>
    </w:p>
    <w:p w14:paraId="394608C7"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kern w:val="0"/>
          <w:sz w:val="24"/>
          <w:szCs w:val="24"/>
        </w:rPr>
        <w:t>1.</w:t>
      </w:r>
      <w:r>
        <w:rPr>
          <w:rFonts w:ascii="宋体" w:eastAsia="宋体" w:hAnsi="宋体" w:cs="Times New Roman" w:hint="eastAsia"/>
          <w:kern w:val="0"/>
          <w:sz w:val="24"/>
          <w:szCs w:val="24"/>
        </w:rPr>
        <w:t>我方已进行并完成针对本项目标的的尽职勘验工作，充分了解并接受标的资产在广东联合产权交易中心</w:t>
      </w:r>
      <w:r>
        <w:rPr>
          <w:rFonts w:ascii="宋体" w:eastAsia="宋体" w:hAnsi="宋体" w:cs="Times New Roman" w:hint="eastAsia"/>
          <w:sz w:val="24"/>
          <w:szCs w:val="24"/>
        </w:rPr>
        <w:t>（</w:t>
      </w:r>
      <w:r>
        <w:rPr>
          <w:rFonts w:ascii="宋体" w:eastAsia="宋体" w:hAnsi="宋体" w:cs="Times New Roman" w:hint="eastAsia"/>
          <w:kern w:val="0"/>
          <w:sz w:val="24"/>
          <w:szCs w:val="24"/>
        </w:rPr>
        <w:t>https://http://www.gduaee.com/</w:t>
      </w:r>
      <w:r>
        <w:rPr>
          <w:rFonts w:ascii="宋体" w:eastAsia="宋体" w:hAnsi="宋体" w:cs="Times New Roman" w:hint="eastAsia"/>
          <w:sz w:val="24"/>
          <w:szCs w:val="24"/>
        </w:rPr>
        <w:t>）</w:t>
      </w:r>
      <w:r>
        <w:rPr>
          <w:rFonts w:ascii="宋体" w:eastAsia="宋体" w:hAnsi="宋体" w:cs="Times New Roman" w:hint="eastAsia"/>
          <w:kern w:val="0"/>
          <w:sz w:val="24"/>
          <w:szCs w:val="24"/>
        </w:rPr>
        <w:t>信息发布的全部内容和要求。所涉及标的资产严格以现场实物状态进行交易。我方办理竞价登记手续即视为对标的现状的充分了解与认可。</w:t>
      </w:r>
    </w:p>
    <w:p w14:paraId="144E7E7B"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w:t>
      </w:r>
      <w:r>
        <w:rPr>
          <w:rFonts w:ascii="宋体" w:eastAsia="宋体" w:hAnsi="宋体" w:cs="Times New Roman" w:hint="eastAsia"/>
          <w:kern w:val="0"/>
          <w:sz w:val="24"/>
          <w:szCs w:val="24"/>
        </w:rPr>
        <w:t>我方已详细阅读本标的资产项目通过广东联合产权交易中心发布的交易条件和拍拍在线网络竞价平台发布的《竞买规则及须知》，包括转让方补充修改文件（如有）以及全部参考资料和有关附件。我方将自行承担因对交易条件及其附件不明或误解而产生的相应后果。同时我方充分理解转让方对本次受让资格确认所采取的程序性办法。我方在此不可撤销地放弃对相关程序性办法及相应安排提出任何异议的权力，并放弃因此而向转让方提出任何索赔的权力。</w:t>
      </w:r>
    </w:p>
    <w:p w14:paraId="5EF57318"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w:t>
      </w:r>
      <w:r>
        <w:rPr>
          <w:rFonts w:ascii="宋体" w:eastAsia="宋体" w:hAnsi="宋体" w:cs="Times New Roman" w:hint="eastAsia"/>
          <w:kern w:val="0"/>
          <w:sz w:val="24"/>
          <w:szCs w:val="24"/>
        </w:rPr>
        <w:t>我方在此承诺，为顺利完成本标的资产项目处置，本方（我公司）或以本方为主办方组成的联合体（应提供针对本项目的联合体协议）具备符合国家规定的资质、业绩要求，提供的证明文件真实有效。</w:t>
      </w:r>
    </w:p>
    <w:p w14:paraId="7D7B19DE"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w:t>
      </w:r>
      <w:r>
        <w:rPr>
          <w:rFonts w:ascii="宋体" w:eastAsia="宋体" w:hAnsi="宋体" w:cs="Times New Roman" w:hint="eastAsia"/>
          <w:kern w:val="0"/>
          <w:sz w:val="24"/>
          <w:szCs w:val="24"/>
        </w:rPr>
        <w:t>若我方提供的《安全拆除施工方案》中有违背国家、地方和行业相关法律法规规定，在收到转让方书面告知后三个工作日内未提交修改后的《安全施工方案》时，我方同意承担违约责任。</w:t>
      </w:r>
    </w:p>
    <w:p w14:paraId="4ECB89CB"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w:t>
      </w:r>
      <w:r>
        <w:rPr>
          <w:rFonts w:ascii="宋体" w:eastAsia="宋体" w:hAnsi="宋体" w:cs="Times New Roman" w:hint="eastAsia"/>
          <w:kern w:val="0"/>
          <w:sz w:val="24"/>
          <w:szCs w:val="24"/>
        </w:rPr>
        <w:t>出现下列情况之一者，我方自愿被扣除已交纳的交易保证金并承担相应违约责任：</w:t>
      </w:r>
      <w:bookmarkStart w:id="0" w:name="_Hlt36897317"/>
      <w:bookmarkEnd w:id="0"/>
      <w:r>
        <w:rPr>
          <w:rFonts w:ascii="宋体" w:eastAsia="宋体" w:hAnsi="宋体" w:cs="Times New Roman" w:hint="eastAsia"/>
          <w:kern w:val="0"/>
          <w:sz w:val="24"/>
          <w:szCs w:val="24"/>
        </w:rPr>
        <w:t>①经合规程序被确定为最终买受人后未能按时签订相关《实物资产交易合同》的（以转让方提供为准）；②进入竞价程序，如所有竞买人均无应价的；③《竞买须知及规则》中规定的竞买人违约的其他情况。</w:t>
      </w:r>
    </w:p>
    <w:p w14:paraId="7171FFDE"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kern w:val="0"/>
          <w:sz w:val="24"/>
          <w:szCs w:val="24"/>
        </w:rPr>
        <w:t>6.</w:t>
      </w:r>
      <w:r>
        <w:rPr>
          <w:rFonts w:ascii="宋体" w:eastAsia="宋体" w:hAnsi="宋体" w:cs="Times New Roman" w:hint="eastAsia"/>
          <w:kern w:val="0"/>
          <w:sz w:val="24"/>
          <w:szCs w:val="24"/>
        </w:rPr>
        <w:t>我方同意，发生违约行为，无条件同意转让方收回标的再行处置。</w:t>
      </w:r>
    </w:p>
    <w:p w14:paraId="3D71E0A8"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kern w:val="0"/>
          <w:sz w:val="24"/>
          <w:szCs w:val="24"/>
        </w:rPr>
        <w:t>7.</w:t>
      </w:r>
      <w:r>
        <w:rPr>
          <w:rFonts w:ascii="宋体" w:eastAsia="宋体" w:hAnsi="宋体" w:cs="Times New Roman" w:hint="eastAsia"/>
          <w:kern w:val="0"/>
          <w:sz w:val="24"/>
          <w:szCs w:val="24"/>
        </w:rPr>
        <w:t>我方同意，我方被确定为买受人后（适用于协议转让方式成交和拍卖竞价方式成交），因本方原因未履行《竞买须知及规则》规定而违约时，仍交纳本次交易中买受人应当支付的交易服务费。</w:t>
      </w:r>
    </w:p>
    <w:p w14:paraId="54C4745B" w14:textId="77777777" w:rsidR="00632139" w:rsidRDefault="00632139">
      <w:pPr>
        <w:jc w:val="center"/>
        <w:rPr>
          <w:rFonts w:ascii="宋体" w:eastAsia="宋体" w:hAnsi="宋体" w:cs="Times New Roman" w:hint="eastAsia"/>
          <w:sz w:val="24"/>
          <w:szCs w:val="24"/>
        </w:rPr>
      </w:pPr>
      <w:bookmarkStart w:id="1" w:name="_Toc487410356"/>
    </w:p>
    <w:p w14:paraId="698AB356" w14:textId="77777777" w:rsidR="00632139" w:rsidRDefault="00C60DEF">
      <w:pPr>
        <w:ind w:firstLineChars="200" w:firstLine="480"/>
        <w:rPr>
          <w:rFonts w:ascii="Calibri" w:eastAsia="宋体" w:hAnsi="Calibri" w:cs="Times New Roman"/>
          <w:b/>
          <w:bCs/>
          <w:sz w:val="24"/>
          <w:szCs w:val="24"/>
        </w:rPr>
      </w:pPr>
      <w:r>
        <w:rPr>
          <w:rFonts w:ascii="宋体" w:eastAsia="宋体" w:hAnsi="宋体" w:cs="Times New Roman" w:hint="eastAsia"/>
          <w:sz w:val="24"/>
          <w:szCs w:val="24"/>
        </w:rPr>
        <w:t>竞买人（签字并盖章）：</w:t>
      </w:r>
    </w:p>
    <w:p w14:paraId="0FB0B368" w14:textId="77777777" w:rsidR="00632139" w:rsidRDefault="00632139">
      <w:pPr>
        <w:jc w:val="center"/>
        <w:rPr>
          <w:rFonts w:ascii="Tahoma" w:eastAsia="宋体" w:hAnsi="Tahoma" w:cs="Tahoma"/>
          <w:b/>
          <w:color w:val="000000"/>
          <w:sz w:val="32"/>
          <w:szCs w:val="32"/>
        </w:rPr>
      </w:pPr>
    </w:p>
    <w:p w14:paraId="0C74EEDA" w14:textId="77777777" w:rsidR="00632139" w:rsidRDefault="00632139">
      <w:pPr>
        <w:jc w:val="center"/>
        <w:rPr>
          <w:rFonts w:ascii="Tahoma" w:eastAsia="宋体" w:hAnsi="Tahoma" w:cs="Tahoma"/>
          <w:b/>
          <w:color w:val="000000"/>
          <w:sz w:val="32"/>
          <w:szCs w:val="32"/>
        </w:rPr>
      </w:pPr>
    </w:p>
    <w:p w14:paraId="0A10EE22" w14:textId="77777777" w:rsidR="00632139" w:rsidRDefault="00632139">
      <w:pPr>
        <w:rPr>
          <w:rFonts w:ascii="Tahoma" w:eastAsia="宋体" w:hAnsi="Tahoma" w:cs="Tahoma"/>
          <w:b/>
          <w:color w:val="000000"/>
          <w:sz w:val="32"/>
          <w:szCs w:val="32"/>
        </w:rPr>
      </w:pPr>
    </w:p>
    <w:p w14:paraId="08DF6949" w14:textId="77777777" w:rsidR="00632139" w:rsidRDefault="00C60DEF">
      <w:pPr>
        <w:jc w:val="center"/>
        <w:rPr>
          <w:rFonts w:ascii="Tahoma" w:eastAsia="宋体" w:hAnsi="Tahoma" w:cs="Tahoma"/>
          <w:b/>
          <w:color w:val="000000"/>
          <w:sz w:val="24"/>
          <w:szCs w:val="24"/>
        </w:rPr>
      </w:pPr>
      <w:r>
        <w:rPr>
          <w:rFonts w:ascii="Tahoma" w:eastAsia="宋体" w:hAnsi="Tahoma" w:cs="Tahoma" w:hint="eastAsia"/>
          <w:b/>
          <w:color w:val="000000"/>
          <w:sz w:val="24"/>
          <w:szCs w:val="24"/>
        </w:rPr>
        <w:lastRenderedPageBreak/>
        <w:t>竞买须知及规则</w:t>
      </w:r>
    </w:p>
    <w:p w14:paraId="7DD6DA73"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为切实保障拍卖当事人的权利和义务，根据《中华人民共和国拍卖法》、《企业国有资产交易监督管理办法》、《中华人民共和国电子商务法》等法律法规，本着公开、公平、公正、诚实信用的原则，特制定本须知及规则，共同遵守。</w:t>
      </w:r>
    </w:p>
    <w:p w14:paraId="3687722D"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1、本次网络竞价活动在公开、平等竞争的条件下进行，一切活动都具备法律效力。</w:t>
      </w:r>
    </w:p>
    <w:p w14:paraId="053400B1"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竞买人条件：</w:t>
      </w:r>
      <w:r>
        <w:rPr>
          <w:rFonts w:ascii="宋体" w:eastAsia="宋体" w:hAnsi="宋体" w:cs="Times New Roman" w:hint="eastAsia"/>
          <w:kern w:val="0"/>
          <w:sz w:val="24"/>
          <w:szCs w:val="24"/>
        </w:rPr>
        <w:t>中华人民共和国境内注册成立并合法存续的法人。</w:t>
      </w:r>
    </w:p>
    <w:p w14:paraId="370B3FB2"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转让标的资产采取拆卖一体确定最终买受人，可接受联合体方式受让该标的资产，联合体成员不超过两家且任意一方不得重复组建联合体。</w:t>
      </w:r>
    </w:p>
    <w:p w14:paraId="74B7154D"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①单独受让。意向买受人须具有石油化工工程施工总承包壹级及以上、建筑工程施工总承包贰级及以上资质，且经营范围包含废旧物资回收或再生资源回收利用资质。</w:t>
      </w:r>
    </w:p>
    <w:p w14:paraId="3F466993"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②联合体受让。须签订联合受让协议，一方具有石油化工工程施工总承包壹级及以上、建筑工程施工总承包贰级及以上资质，一方经营范围包含废旧物资回收或再生资源回收利用资质。</w:t>
      </w:r>
    </w:p>
    <w:p w14:paraId="261A9482"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kern w:val="0"/>
          <w:sz w:val="24"/>
          <w:szCs w:val="24"/>
        </w:rPr>
        <w:t>3</w:t>
      </w:r>
      <w:r>
        <w:rPr>
          <w:rFonts w:ascii="宋体" w:eastAsia="宋体" w:hAnsi="宋体" w:cs="Times New Roman" w:hint="eastAsia"/>
          <w:kern w:val="0"/>
          <w:sz w:val="24"/>
          <w:szCs w:val="24"/>
        </w:rPr>
        <w:t>、意向受让方需在信息公告期截止之日17:00前，向广东联合产权交易中心结算账户交纳交易保证金</w:t>
      </w:r>
      <w:r>
        <w:rPr>
          <w:rFonts w:ascii="宋体" w:eastAsia="宋体" w:hAnsi="宋体" w:cs="Times New Roman"/>
          <w:kern w:val="0"/>
          <w:sz w:val="24"/>
          <w:szCs w:val="24"/>
        </w:rPr>
        <w:t>到</w:t>
      </w:r>
      <w:r>
        <w:rPr>
          <w:rFonts w:ascii="宋体" w:eastAsia="宋体" w:hAnsi="宋体" w:cs="Times New Roman" w:hint="eastAsia"/>
          <w:kern w:val="0"/>
          <w:sz w:val="24"/>
          <w:szCs w:val="24"/>
        </w:rPr>
        <w:t>广东联合产权交易中心所</w:t>
      </w:r>
      <w:r>
        <w:rPr>
          <w:rFonts w:ascii="宋体" w:eastAsia="宋体" w:hAnsi="宋体" w:cs="Times New Roman"/>
          <w:kern w:val="0"/>
          <w:sz w:val="24"/>
          <w:szCs w:val="24"/>
        </w:rPr>
        <w:t>指定的银行账户</w:t>
      </w:r>
      <w:r>
        <w:rPr>
          <w:rFonts w:ascii="宋体" w:eastAsia="宋体" w:hAnsi="宋体" w:cs="Times New Roman" w:hint="eastAsia"/>
          <w:kern w:val="0"/>
          <w:sz w:val="24"/>
          <w:szCs w:val="24"/>
        </w:rPr>
        <w:t>。取得有效的《保证金汇款凭证》。</w:t>
      </w:r>
    </w:p>
    <w:p w14:paraId="237D5424" w14:textId="5D6F5A7C"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4、意向竞买人应在信息披露截止日前在广东联合产权交易中心办理办报名手续，包括提交《现场踏勘确认书》、</w:t>
      </w:r>
      <w:r w:rsidR="00D2615D" w:rsidRPr="00D2615D">
        <w:rPr>
          <w:rFonts w:ascii="宋体" w:eastAsia="宋体" w:hAnsi="宋体" w:cs="Times New Roman" w:hint="eastAsia"/>
          <w:kern w:val="0"/>
          <w:sz w:val="24"/>
          <w:szCs w:val="24"/>
        </w:rPr>
        <w:t>《资产受让申请书》</w:t>
      </w:r>
      <w:r>
        <w:rPr>
          <w:rFonts w:ascii="宋体" w:eastAsia="宋体" w:hAnsi="宋体" w:cs="Times New Roman" w:hint="eastAsia"/>
          <w:kern w:val="0"/>
          <w:sz w:val="24"/>
          <w:szCs w:val="24"/>
        </w:rPr>
        <w:t>、及其附件材料等其他所需材料。意向竞买人向广东联合产权交易中心提交</w:t>
      </w:r>
      <w:r w:rsidR="00D2615D" w:rsidRPr="00D2615D">
        <w:rPr>
          <w:rFonts w:ascii="宋体" w:eastAsia="宋体" w:hAnsi="宋体" w:cs="Times New Roman" w:hint="eastAsia"/>
          <w:kern w:val="0"/>
          <w:sz w:val="24"/>
          <w:szCs w:val="24"/>
        </w:rPr>
        <w:t>《资产受让申请书》</w:t>
      </w:r>
      <w:r>
        <w:rPr>
          <w:rFonts w:ascii="宋体" w:eastAsia="宋体" w:hAnsi="宋体" w:cs="Times New Roman" w:hint="eastAsia"/>
          <w:kern w:val="0"/>
          <w:sz w:val="24"/>
          <w:szCs w:val="24"/>
        </w:rPr>
        <w:t>及相关材料、交纳保证金的行为，是对交易条件和转让底价的认可和接受。</w:t>
      </w:r>
    </w:p>
    <w:p w14:paraId="2D7BD634" w14:textId="13EF2995"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kern w:val="0"/>
          <w:sz w:val="24"/>
          <w:szCs w:val="24"/>
        </w:rPr>
        <w:t>5</w:t>
      </w:r>
      <w:r>
        <w:rPr>
          <w:rFonts w:ascii="宋体" w:eastAsia="宋体" w:hAnsi="宋体" w:cs="Times New Roman" w:hint="eastAsia"/>
          <w:kern w:val="0"/>
          <w:sz w:val="24"/>
          <w:szCs w:val="24"/>
        </w:rPr>
        <w:t>、意向竞买人在</w:t>
      </w:r>
      <w:bookmarkStart w:id="2" w:name="_Hlk194918285"/>
      <w:r>
        <w:rPr>
          <w:rFonts w:ascii="宋体" w:eastAsia="宋体" w:hAnsi="宋体" w:cs="Times New Roman" w:hint="eastAsia"/>
          <w:kern w:val="0"/>
          <w:sz w:val="24"/>
          <w:szCs w:val="24"/>
        </w:rPr>
        <w:t>2025年5月</w:t>
      </w:r>
      <w:r w:rsidR="00A619AB">
        <w:rPr>
          <w:rFonts w:ascii="宋体" w:eastAsia="宋体" w:hAnsi="宋体" w:cs="Times New Roman" w:hint="eastAsia"/>
          <w:kern w:val="0"/>
          <w:sz w:val="24"/>
          <w:szCs w:val="24"/>
        </w:rPr>
        <w:t>21</w:t>
      </w:r>
      <w:r>
        <w:rPr>
          <w:rFonts w:ascii="宋体" w:eastAsia="宋体" w:hAnsi="宋体" w:cs="Times New Roman" w:hint="eastAsia"/>
          <w:kern w:val="0"/>
          <w:sz w:val="24"/>
          <w:szCs w:val="24"/>
        </w:rPr>
        <w:t>日</w:t>
      </w:r>
      <w:bookmarkEnd w:id="2"/>
      <w:r>
        <w:rPr>
          <w:rFonts w:ascii="宋体" w:eastAsia="宋体" w:hAnsi="宋体" w:cs="Times New Roman" w:hint="eastAsia"/>
          <w:kern w:val="0"/>
          <w:sz w:val="24"/>
          <w:szCs w:val="24"/>
        </w:rPr>
        <w:t>13时50分前自行将广东联合产权交易中心受让报名手机号登录拍拍在线平台产权交易机构项目竞拍登录入口获取验证码完成竞买登记手续。</w:t>
      </w:r>
    </w:p>
    <w:p w14:paraId="03B5DA00"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6、</w:t>
      </w:r>
      <w:r>
        <w:rPr>
          <w:rFonts w:ascii="宋体" w:eastAsia="宋体" w:hAnsi="宋体" w:cs="Times New Roman"/>
          <w:kern w:val="0"/>
          <w:sz w:val="24"/>
          <w:szCs w:val="24"/>
        </w:rPr>
        <w:t>出价活动分为两个竞价期，即自由竞价期和限时竞价期。</w:t>
      </w:r>
    </w:p>
    <w:p w14:paraId="393327FA" w14:textId="738B13D3"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自由竞价期：</w:t>
      </w:r>
      <w:r>
        <w:rPr>
          <w:rFonts w:ascii="宋体" w:eastAsia="宋体" w:hAnsi="宋体" w:cs="Times New Roman" w:hint="eastAsia"/>
          <w:kern w:val="0"/>
          <w:sz w:val="24"/>
          <w:szCs w:val="24"/>
        </w:rPr>
        <w:t>2025年5月</w:t>
      </w:r>
      <w:r w:rsidR="00A619AB">
        <w:rPr>
          <w:rFonts w:ascii="宋体" w:eastAsia="宋体" w:hAnsi="宋体" w:cs="Times New Roman" w:hint="eastAsia"/>
          <w:kern w:val="0"/>
          <w:sz w:val="24"/>
          <w:szCs w:val="24"/>
        </w:rPr>
        <w:t>21</w:t>
      </w:r>
      <w:r>
        <w:rPr>
          <w:rFonts w:ascii="宋体" w:eastAsia="宋体" w:hAnsi="宋体" w:cs="Times New Roman" w:hint="eastAsia"/>
          <w:kern w:val="0"/>
          <w:sz w:val="24"/>
          <w:szCs w:val="24"/>
        </w:rPr>
        <w:t>日14时00分至14时30分</w:t>
      </w:r>
      <w:r>
        <w:rPr>
          <w:rFonts w:ascii="宋体" w:eastAsia="宋体" w:hAnsi="宋体" w:cs="Times New Roman"/>
          <w:kern w:val="0"/>
          <w:sz w:val="24"/>
          <w:szCs w:val="24"/>
        </w:rPr>
        <w:t>。在此期间，竞买人按照规定的加价规则进行有效报价。</w:t>
      </w:r>
    </w:p>
    <w:p w14:paraId="5A2B8833"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r>
        <w:rPr>
          <w:rFonts w:ascii="宋体" w:eastAsia="宋体" w:hAnsi="宋体" w:cs="Times New Roman" w:hint="eastAsia"/>
          <w:kern w:val="0"/>
          <w:sz w:val="24"/>
          <w:szCs w:val="24"/>
        </w:rPr>
        <w:t>当前最高出价的竞买人成为本项目的买受人。</w:t>
      </w:r>
    </w:p>
    <w:p w14:paraId="20B265E5"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7、竞价过程中，竞买人要认真严肃地进行报价并为自己的报价行为付相应的法律责任。</w:t>
      </w:r>
    </w:p>
    <w:p w14:paraId="34FF3BD8"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lastRenderedPageBreak/>
        <w:t>8、买受人</w:t>
      </w:r>
      <w:r>
        <w:rPr>
          <w:rFonts w:ascii="宋体" w:eastAsia="宋体" w:hAnsi="宋体" w:cs="Times New Roman"/>
          <w:kern w:val="0"/>
          <w:sz w:val="24"/>
          <w:szCs w:val="24"/>
        </w:rPr>
        <w:t>须于拍卖成交后5个工作日内签署《拍卖笔录》、《成交确认书》</w:t>
      </w:r>
      <w:r>
        <w:rPr>
          <w:rFonts w:ascii="宋体" w:eastAsia="宋体" w:hAnsi="宋体" w:cs="Times New Roman" w:hint="eastAsia"/>
          <w:kern w:val="0"/>
          <w:sz w:val="24"/>
          <w:szCs w:val="24"/>
        </w:rPr>
        <w:t>、</w:t>
      </w:r>
      <w:r>
        <w:rPr>
          <w:rFonts w:ascii="宋体" w:eastAsia="宋体" w:hAnsi="宋体" w:cs="Times New Roman"/>
          <w:kern w:val="0"/>
          <w:sz w:val="24"/>
          <w:szCs w:val="24"/>
        </w:rPr>
        <w:t>与转让方签订</w:t>
      </w:r>
      <w:r>
        <w:rPr>
          <w:rFonts w:ascii="宋体" w:eastAsia="宋体" w:hAnsi="宋体" w:cs="Times New Roman" w:hint="eastAsia"/>
          <w:kern w:val="0"/>
          <w:sz w:val="24"/>
          <w:szCs w:val="24"/>
        </w:rPr>
        <w:t>《实物资产交易合同》</w:t>
      </w:r>
      <w:r>
        <w:rPr>
          <w:rFonts w:ascii="宋体" w:eastAsia="宋体" w:hAnsi="宋体" w:cs="Times New Roman"/>
          <w:kern w:val="0"/>
          <w:sz w:val="24"/>
          <w:szCs w:val="24"/>
        </w:rPr>
        <w:t>，在合同生效之日起5个工作日内将剩余交易价款</w:t>
      </w:r>
      <w:r>
        <w:rPr>
          <w:rFonts w:ascii="宋体" w:eastAsia="宋体" w:hAnsi="宋体" w:cs="Times New Roman" w:hint="eastAsia"/>
          <w:kern w:val="0"/>
          <w:sz w:val="24"/>
          <w:szCs w:val="24"/>
        </w:rPr>
        <w:t>、履约保证金、广东联合产权交易中心</w:t>
      </w:r>
      <w:r>
        <w:rPr>
          <w:rFonts w:ascii="宋体" w:eastAsia="宋体" w:hAnsi="宋体" w:cs="Times New Roman"/>
          <w:kern w:val="0"/>
          <w:sz w:val="24"/>
          <w:szCs w:val="24"/>
        </w:rPr>
        <w:t>易服务费</w:t>
      </w:r>
      <w:r>
        <w:rPr>
          <w:rFonts w:ascii="宋体" w:eastAsia="宋体" w:hAnsi="宋体" w:cs="Times New Roman" w:hint="eastAsia"/>
          <w:kern w:val="0"/>
          <w:sz w:val="24"/>
          <w:szCs w:val="24"/>
        </w:rPr>
        <w:t>、拍拍在线（北京）拍卖有限公司服务费</w:t>
      </w:r>
      <w:r>
        <w:rPr>
          <w:rFonts w:ascii="宋体" w:eastAsia="宋体" w:hAnsi="宋体" w:cs="Times New Roman"/>
          <w:kern w:val="0"/>
          <w:sz w:val="24"/>
          <w:szCs w:val="24"/>
        </w:rPr>
        <w:t>一次性支付至指定账户。</w:t>
      </w:r>
    </w:p>
    <w:p w14:paraId="0FDF6046" w14:textId="77777777" w:rsidR="00632139" w:rsidRDefault="00C60DEF">
      <w:pPr>
        <w:widowControl/>
        <w:adjustRightInd w:val="0"/>
        <w:snapToGrid w:val="0"/>
        <w:spacing w:beforeLines="50" w:before="156" w:afterLines="50" w:after="156"/>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9、买受人须在《实物资产交易合同》签订之日起5个工作日内按转让方要求递交详细可行的《拆除施工方案》《拆除活动污染防治方案》《拆除活动环境应急预案》。上述方案须经转让方审核通过并经项目所在地应急管理部门和环境保护部门备案后才能进场施工（转让方审核并不减免受让方的一切安全、环保责任），如需完善、修改的乙方须在《资产交易合同》签订之日起10个工作日内按转让方要求完善、修改上述方案；买受人须在《实物资产交易合同》签订之日起15个工作日内完成施工人员健康体检、保险及入厂施工前一、二、三级安全教育；上述流程完成后，甲方将交易标的资产交付乙方，受让方须于进厂工作许可通知之日起120个自然日内完成拆除清运工作。</w:t>
      </w:r>
    </w:p>
    <w:p w14:paraId="34855A2D"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kern w:val="0"/>
          <w:sz w:val="24"/>
          <w:szCs w:val="24"/>
        </w:rPr>
        <w:t>1</w:t>
      </w:r>
      <w:r>
        <w:rPr>
          <w:rFonts w:ascii="宋体" w:eastAsia="宋体" w:hAnsi="宋体" w:cs="Times New Roman" w:hint="eastAsia"/>
          <w:kern w:val="0"/>
          <w:sz w:val="24"/>
          <w:szCs w:val="24"/>
        </w:rPr>
        <w:t>0、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2058B1BB"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kern w:val="0"/>
          <w:sz w:val="24"/>
          <w:szCs w:val="24"/>
        </w:rPr>
        <w:t>1</w:t>
      </w:r>
      <w:r>
        <w:rPr>
          <w:rFonts w:ascii="宋体" w:eastAsia="宋体" w:hAnsi="宋体" w:cs="Times New Roman" w:hint="eastAsia"/>
          <w:kern w:val="0"/>
          <w:sz w:val="24"/>
          <w:szCs w:val="24"/>
        </w:rPr>
        <w:t>1、</w:t>
      </w:r>
      <w:r>
        <w:rPr>
          <w:rFonts w:ascii="Times New Roman" w:eastAsia="宋体" w:hAnsi="Times New Roman" w:cs="Times New Roman" w:hint="eastAsia"/>
          <w:sz w:val="24"/>
        </w:rPr>
        <w:t>买受人与转让方签订《实物资产交易合同》后五个工作日内支付交易服务费（拍卖佣金），</w:t>
      </w:r>
      <w:r>
        <w:rPr>
          <w:rFonts w:ascii="宋体" w:eastAsia="宋体" w:hAnsi="宋体" w:cs="Times New Roman" w:hint="eastAsia"/>
          <w:kern w:val="0"/>
          <w:sz w:val="24"/>
          <w:szCs w:val="24"/>
        </w:rPr>
        <w:t>交易服务费</w:t>
      </w:r>
      <w:r>
        <w:rPr>
          <w:rFonts w:ascii="Times New Roman" w:eastAsia="宋体" w:hAnsi="Times New Roman" w:cs="Times New Roman" w:hint="eastAsia"/>
          <w:sz w:val="24"/>
        </w:rPr>
        <w:t>（拍卖佣金）</w:t>
      </w:r>
      <w:r>
        <w:rPr>
          <w:rFonts w:ascii="宋体" w:eastAsia="宋体" w:hAnsi="宋体" w:cs="Times New Roman" w:hint="eastAsia"/>
          <w:kern w:val="0"/>
          <w:sz w:val="24"/>
          <w:szCs w:val="24"/>
        </w:rPr>
        <w:t>按成交金额（含税）的5%支付，具体明细如下：</w:t>
      </w:r>
    </w:p>
    <w:p w14:paraId="05A7188C"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1（1）买受人向广东联合产权交易中心支付</w:t>
      </w:r>
      <w:r>
        <w:rPr>
          <w:rFonts w:ascii="Times New Roman" w:eastAsia="宋体" w:hAnsi="Times New Roman" w:cs="Times New Roman" w:hint="eastAsia"/>
          <w:sz w:val="24"/>
        </w:rPr>
        <w:t>（成交金额）</w:t>
      </w:r>
      <w:r>
        <w:rPr>
          <w:rFonts w:ascii="宋体" w:eastAsia="宋体" w:hAnsi="宋体" w:cs="Times New Roman" w:hint="eastAsia"/>
          <w:kern w:val="0"/>
          <w:sz w:val="24"/>
          <w:szCs w:val="24"/>
        </w:rPr>
        <w:t>3%的交易服务费，具体以广东联合产权交易中心出具的《项目缴款通知书》为准。</w:t>
      </w:r>
    </w:p>
    <w:p w14:paraId="2501A977"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（2）甲方以电汇的方式向拍拍在线（北京）拍卖有限公司支付</w:t>
      </w:r>
      <w:r>
        <w:rPr>
          <w:rFonts w:ascii="Times New Roman" w:eastAsia="宋体" w:hAnsi="Times New Roman" w:cs="Times New Roman" w:hint="eastAsia"/>
          <w:sz w:val="24"/>
        </w:rPr>
        <w:t>（成交金额）</w:t>
      </w:r>
      <w:r>
        <w:rPr>
          <w:rFonts w:ascii="宋体" w:eastAsia="宋体" w:hAnsi="宋体" w:cs="Times New Roman" w:hint="eastAsia"/>
          <w:kern w:val="0"/>
          <w:sz w:val="24"/>
          <w:szCs w:val="24"/>
        </w:rPr>
        <w:t>2%的交易服务费（拍卖佣金），账户信息如下：</w:t>
      </w:r>
    </w:p>
    <w:p w14:paraId="4BCEEE15"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公司名称：拍拍在线（北京）拍卖有限公司</w:t>
      </w:r>
    </w:p>
    <w:p w14:paraId="5C9069C7"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开户行：中国工商银行股份有限公司北京新源里支行</w:t>
      </w:r>
    </w:p>
    <w:p w14:paraId="7AE15233"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账号：0200 2046 1900 0055 787</w:t>
      </w:r>
    </w:p>
    <w:p w14:paraId="35967B6F" w14:textId="77777777" w:rsidR="00632139" w:rsidRDefault="00632139">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p>
    <w:p w14:paraId="311B7746"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12、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05BB7EF1"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13、</w:t>
      </w:r>
      <w:r>
        <w:rPr>
          <w:rFonts w:ascii="宋体" w:eastAsia="宋体" w:hAnsi="宋体" w:cs="Times New Roman"/>
          <w:kern w:val="0"/>
          <w:sz w:val="24"/>
          <w:szCs w:val="24"/>
        </w:rPr>
        <w:t>拍卖标的在</w:t>
      </w:r>
      <w:r>
        <w:rPr>
          <w:rFonts w:ascii="宋体" w:eastAsia="宋体" w:hAnsi="宋体" w:cs="Times New Roman" w:hint="eastAsia"/>
          <w:kern w:val="0"/>
          <w:sz w:val="24"/>
          <w:szCs w:val="24"/>
        </w:rPr>
        <w:t>广东联合产权交易中心</w:t>
      </w:r>
      <w:r>
        <w:rPr>
          <w:rFonts w:ascii="宋体" w:eastAsia="宋体" w:hAnsi="宋体" w:cs="Times New Roman"/>
          <w:kern w:val="0"/>
          <w:sz w:val="24"/>
          <w:szCs w:val="24"/>
        </w:rPr>
        <w:t>的资产转让信息披露公告及公示的相关文件是本拍卖规则的组成部分。</w:t>
      </w:r>
    </w:p>
    <w:p w14:paraId="0501941C"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14、</w:t>
      </w:r>
      <w:r>
        <w:rPr>
          <w:rFonts w:ascii="宋体" w:eastAsia="宋体" w:hAnsi="宋体" w:cs="Times New Roman"/>
          <w:kern w:val="0"/>
          <w:sz w:val="24"/>
          <w:szCs w:val="24"/>
        </w:rPr>
        <w:t>网络拍卖会过程中所涉及的时间，以拍拍在线平台系统服务器时间为准。因不可抗力、软硬件故障、非法入侵、恶意攻击等原因而导致拍拍在线平台系统异常、竞价活动中断的，</w:t>
      </w:r>
      <w:r>
        <w:rPr>
          <w:rFonts w:ascii="宋体" w:eastAsia="宋体" w:hAnsi="宋体" w:cs="Times New Roman" w:hint="eastAsia"/>
          <w:kern w:val="0"/>
          <w:sz w:val="24"/>
          <w:szCs w:val="24"/>
        </w:rPr>
        <w:t>拍拍在线（北京）拍卖有限公司等竞价组织方</w:t>
      </w:r>
      <w:r>
        <w:rPr>
          <w:rFonts w:ascii="宋体" w:eastAsia="宋体" w:hAnsi="宋体" w:cs="Times New Roman"/>
          <w:kern w:val="0"/>
          <w:sz w:val="24"/>
          <w:szCs w:val="24"/>
        </w:rPr>
        <w:t>不承担任何责任。拍卖公司将视情况组织继续报价或重新报价，并通知各竞买</w:t>
      </w:r>
      <w:r>
        <w:rPr>
          <w:rFonts w:ascii="宋体" w:eastAsia="宋体" w:hAnsi="宋体" w:cs="Times New Roman"/>
          <w:kern w:val="0"/>
          <w:sz w:val="24"/>
          <w:szCs w:val="24"/>
        </w:rPr>
        <w:lastRenderedPageBreak/>
        <w:t>人。如当日无法重新启动拍卖，拍卖公司择期另行举行网络拍卖会。继续报价或重新报价的方式如下：</w:t>
      </w:r>
    </w:p>
    <w:p w14:paraId="7B862CE5"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kern w:val="0"/>
          <w:sz w:val="24"/>
          <w:szCs w:val="24"/>
        </w:rPr>
        <w:t>报价记录可以恢复的，以中断时的最高有效报价为起始价继续报价；报价记录无法恢复的，以起拍价为起始价重新报价。继续报价或重新报价时将从自由竞价期开始。</w:t>
      </w:r>
    </w:p>
    <w:p w14:paraId="75132AA2"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15、</w:t>
      </w:r>
      <w:r>
        <w:rPr>
          <w:rFonts w:ascii="宋体" w:eastAsia="宋体" w:hAnsi="宋体" w:cs="Times New Roman"/>
          <w:kern w:val="0"/>
          <w:sz w:val="24"/>
          <w:szCs w:val="24"/>
        </w:rPr>
        <w:t>本规则未尽事宜，按照《中华人民共和国拍卖法》等相关法律法规办理。</w:t>
      </w:r>
    </w:p>
    <w:p w14:paraId="108EB46D" w14:textId="77777777" w:rsidR="00632139" w:rsidRDefault="00C60DEF">
      <w:pPr>
        <w:ind w:firstLineChars="200" w:firstLine="480"/>
        <w:rPr>
          <w:rFonts w:ascii="Calibri" w:eastAsia="宋体" w:hAnsi="Calibri" w:cs="Times New Roman"/>
          <w:b/>
          <w:bCs/>
          <w:sz w:val="24"/>
          <w:szCs w:val="24"/>
        </w:rPr>
      </w:pPr>
      <w:r>
        <w:rPr>
          <w:rFonts w:ascii="宋体" w:eastAsia="宋体" w:hAnsi="宋体" w:cs="Times New Roman" w:hint="eastAsia"/>
          <w:sz w:val="24"/>
          <w:szCs w:val="24"/>
        </w:rPr>
        <w:t>竞买人（签字并盖章）：</w:t>
      </w:r>
    </w:p>
    <w:p w14:paraId="7B576ED3" w14:textId="77777777" w:rsidR="00632139" w:rsidRDefault="00632139">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p>
    <w:p w14:paraId="4BC01792" w14:textId="77777777" w:rsidR="00632139" w:rsidRDefault="00632139">
      <w:pPr>
        <w:widowControl/>
        <w:adjustRightInd w:val="0"/>
        <w:snapToGrid w:val="0"/>
        <w:spacing w:beforeLines="50" w:before="156" w:afterLines="50" w:after="156"/>
        <w:jc w:val="left"/>
        <w:rPr>
          <w:rFonts w:ascii="宋体" w:eastAsia="宋体" w:hAnsi="宋体" w:cs="Times New Roman" w:hint="eastAsia"/>
          <w:kern w:val="0"/>
          <w:sz w:val="24"/>
          <w:szCs w:val="24"/>
        </w:rPr>
      </w:pPr>
    </w:p>
    <w:p w14:paraId="19ADCD49" w14:textId="77777777" w:rsidR="00632139" w:rsidRDefault="00C60DEF">
      <w:pPr>
        <w:jc w:val="center"/>
        <w:rPr>
          <w:rFonts w:ascii="Tahoma" w:eastAsia="宋体" w:hAnsi="Tahoma" w:cs="Tahoma"/>
          <w:b/>
          <w:color w:val="000000"/>
          <w:sz w:val="24"/>
          <w:szCs w:val="24"/>
        </w:rPr>
      </w:pPr>
      <w:r>
        <w:rPr>
          <w:rFonts w:ascii="Tahoma" w:eastAsia="宋体" w:hAnsi="Tahoma" w:cs="Tahoma" w:hint="eastAsia"/>
          <w:b/>
          <w:color w:val="000000"/>
          <w:sz w:val="24"/>
          <w:szCs w:val="24"/>
        </w:rPr>
        <w:t>重要提示</w:t>
      </w:r>
    </w:p>
    <w:p w14:paraId="3BA92ED4" w14:textId="77777777" w:rsidR="00632139" w:rsidRDefault="00632139">
      <w:pPr>
        <w:jc w:val="center"/>
        <w:rPr>
          <w:rFonts w:ascii="Tahoma" w:eastAsia="宋体" w:hAnsi="Tahoma" w:cs="Tahoma"/>
          <w:b/>
          <w:color w:val="000000"/>
          <w:sz w:val="24"/>
          <w:szCs w:val="24"/>
        </w:rPr>
      </w:pPr>
    </w:p>
    <w:p w14:paraId="64765587"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1、本次交易标的资产以现场踏勘可见实物为准，按现状交易和移交。意向竞买人须实地踏勘详细了解标的情况及相关法律法规、政策规定、标的资产现状所涉及的一切风险后决定是否受让，并按照国家规定使用。转让方与广东联合产权交易中心不提供标的相关文字和技术资料、不提供标的购置发票、不保证标的名称、规格型号、生产厂家、质量、品质等。本次交易标的资产评估报告仅供参考，交易合同不因交易标的质量、用途、数量、面积和现状（包括物理现状及产权现状等现状）等误差而变更、解除或终止，转让价款不因交易标的质量、用途、数量、面积和现状（包括物理现状及产权现状等）等误差作调整。交易标的均已报废，不得再次、循环利用，因此造成的安全生产、设备损坏等损失和责任，由买受人承担。</w:t>
      </w:r>
    </w:p>
    <w:p w14:paraId="197E5270" w14:textId="175407DA"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2、拆除的压力容器和工</w:t>
      </w:r>
      <w:r w:rsidRPr="00C60DEF">
        <w:rPr>
          <w:rFonts w:ascii="宋体" w:eastAsia="宋体" w:hAnsi="宋体" w:cs="Times New Roman" w:hint="eastAsia"/>
          <w:kern w:val="0"/>
          <w:sz w:val="24"/>
          <w:szCs w:val="24"/>
        </w:rPr>
        <w:t>业管道</w:t>
      </w:r>
      <w:r>
        <w:rPr>
          <w:rFonts w:ascii="宋体" w:eastAsia="宋体" w:hAnsi="宋体" w:cs="Times New Roman" w:hint="eastAsia"/>
          <w:kern w:val="0"/>
          <w:sz w:val="24"/>
          <w:szCs w:val="24"/>
        </w:rPr>
        <w:t>等特种设备转运前需进行破口操作，</w:t>
      </w:r>
      <w:r w:rsidRPr="00C60DEF">
        <w:rPr>
          <w:rFonts w:ascii="宋体" w:eastAsia="宋体" w:hAnsi="宋体" w:cs="Times New Roman" w:hint="eastAsia"/>
          <w:kern w:val="0"/>
          <w:sz w:val="24"/>
          <w:szCs w:val="24"/>
        </w:rPr>
        <w:t>破口标准为最小直径不小于10厘米×10厘米</w:t>
      </w:r>
      <w:r>
        <w:rPr>
          <w:rFonts w:ascii="宋体" w:eastAsia="宋体" w:hAnsi="宋体" w:cs="Times New Roman" w:hint="eastAsia"/>
          <w:kern w:val="0"/>
          <w:sz w:val="24"/>
          <w:szCs w:val="24"/>
        </w:rPr>
        <w:t>，具体以转让方要求为准。</w:t>
      </w:r>
    </w:p>
    <w:p w14:paraId="327B7266" w14:textId="0E1CAC28" w:rsidR="00C60DEF"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kern w:val="0"/>
          <w:sz w:val="24"/>
          <w:szCs w:val="24"/>
        </w:rPr>
        <w:t>3</w:t>
      </w:r>
      <w:r>
        <w:rPr>
          <w:rFonts w:ascii="宋体" w:eastAsia="宋体" w:hAnsi="宋体" w:cs="Times New Roman" w:hint="eastAsia"/>
          <w:kern w:val="0"/>
          <w:sz w:val="24"/>
          <w:szCs w:val="24"/>
        </w:rPr>
        <w:t>、</w:t>
      </w:r>
      <w:r w:rsidRPr="00C60DEF">
        <w:rPr>
          <w:rFonts w:ascii="宋体" w:eastAsia="宋体" w:hAnsi="宋体" w:cs="Times New Roman" w:hint="eastAsia"/>
          <w:kern w:val="0"/>
          <w:sz w:val="24"/>
          <w:szCs w:val="24"/>
        </w:rPr>
        <w:t>报废装置内残余有危险废物的，拆除时必须采用专用收集器具回收，并转运至转让方指定地点交由转让方处理，危险废物不得洒落在现场。由于收集不善造成的污染事件，责任由</w:t>
      </w:r>
      <w:r>
        <w:rPr>
          <w:rFonts w:ascii="宋体" w:eastAsia="宋体" w:hAnsi="宋体" w:cs="Times New Roman" w:hint="eastAsia"/>
          <w:kern w:val="0"/>
          <w:sz w:val="24"/>
          <w:szCs w:val="24"/>
        </w:rPr>
        <w:t>买受人</w:t>
      </w:r>
      <w:r w:rsidRPr="00C60DEF">
        <w:rPr>
          <w:rFonts w:ascii="宋体" w:eastAsia="宋体" w:hAnsi="宋体" w:cs="Times New Roman" w:hint="eastAsia"/>
          <w:kern w:val="0"/>
          <w:sz w:val="24"/>
          <w:szCs w:val="24"/>
        </w:rPr>
        <w:t>承担负责。</w:t>
      </w:r>
    </w:p>
    <w:p w14:paraId="61B63FFD" w14:textId="77777777" w:rsidR="0063211E" w:rsidRDefault="00C60DEF" w:rsidP="00C60DEF">
      <w:pPr>
        <w:widowControl/>
        <w:adjustRightInd w:val="0"/>
        <w:snapToGrid w:val="0"/>
        <w:spacing w:beforeLines="50" w:before="156" w:afterLines="50" w:after="156"/>
        <w:ind w:firstLineChars="200" w:firstLine="480"/>
        <w:jc w:val="left"/>
        <w:rPr>
          <w:rFonts w:ascii="宋体" w:eastAsia="宋体" w:hAnsi="宋体" w:cs="Times New Roman"/>
          <w:kern w:val="0"/>
          <w:sz w:val="24"/>
          <w:szCs w:val="24"/>
        </w:rPr>
      </w:pPr>
      <w:r>
        <w:rPr>
          <w:rFonts w:ascii="宋体" w:eastAsia="宋体" w:hAnsi="宋体" w:cs="Times New Roman" w:hint="eastAsia"/>
          <w:kern w:val="0"/>
          <w:sz w:val="24"/>
          <w:szCs w:val="24"/>
        </w:rPr>
        <w:t>4、</w:t>
      </w:r>
      <w:r w:rsidRPr="00C60DEF">
        <w:rPr>
          <w:rFonts w:ascii="宋体" w:eastAsia="宋体" w:hAnsi="宋体" w:cs="Times New Roman" w:hint="eastAsia"/>
          <w:kern w:val="0"/>
          <w:sz w:val="24"/>
          <w:szCs w:val="24"/>
        </w:rPr>
        <w:t>因拆除设备需要破坏建筑物及构筑物主体机构的，需要转让方同意后方可施工。拆除产生的砖石、渣土等固体废物，由</w:t>
      </w:r>
      <w:r>
        <w:rPr>
          <w:rFonts w:ascii="宋体" w:eastAsia="宋体" w:hAnsi="宋体" w:cs="Times New Roman" w:hint="eastAsia"/>
          <w:kern w:val="0"/>
          <w:sz w:val="24"/>
          <w:szCs w:val="24"/>
        </w:rPr>
        <w:t>买受人</w:t>
      </w:r>
      <w:r w:rsidRPr="00C60DEF">
        <w:rPr>
          <w:rFonts w:ascii="宋体" w:eastAsia="宋体" w:hAnsi="宋体" w:cs="Times New Roman" w:hint="eastAsia"/>
          <w:kern w:val="0"/>
          <w:sz w:val="24"/>
          <w:szCs w:val="24"/>
        </w:rPr>
        <w:t>负责出厂合规处置，且符合项目所在地要求，不得产生环保等其他次生事件，费用由</w:t>
      </w:r>
      <w:r>
        <w:rPr>
          <w:rFonts w:ascii="宋体" w:eastAsia="宋体" w:hAnsi="宋体" w:cs="Times New Roman" w:hint="eastAsia"/>
          <w:kern w:val="0"/>
          <w:sz w:val="24"/>
          <w:szCs w:val="24"/>
        </w:rPr>
        <w:t>买受人</w:t>
      </w:r>
      <w:r w:rsidRPr="00C60DEF">
        <w:rPr>
          <w:rFonts w:ascii="宋体" w:eastAsia="宋体" w:hAnsi="宋体" w:cs="Times New Roman" w:hint="eastAsia"/>
          <w:kern w:val="0"/>
          <w:sz w:val="24"/>
          <w:szCs w:val="24"/>
        </w:rPr>
        <w:t>承担，产生的沟槽、坑洞用土回填或设置标准护栏围挡，确保拆除现场平整安全，并用土工布对裸土区域内进行全覆盖。</w:t>
      </w:r>
    </w:p>
    <w:p w14:paraId="0D9B44D1" w14:textId="32A0E677" w:rsidR="00632139" w:rsidRDefault="00C60DEF" w:rsidP="0063211E">
      <w:pPr>
        <w:widowControl/>
        <w:adjustRightInd w:val="0"/>
        <w:snapToGrid w:val="0"/>
        <w:spacing w:beforeLines="50" w:before="156" w:afterLines="50" w:after="156"/>
        <w:jc w:val="center"/>
        <w:rPr>
          <w:rFonts w:ascii="Times New Roman" w:eastAsia="宋体" w:hAnsi="Times New Roman" w:cs="Times New Roman"/>
          <w:b/>
          <w:bCs/>
          <w:szCs w:val="20"/>
        </w:rPr>
      </w:pPr>
      <w:r>
        <w:rPr>
          <w:rFonts w:ascii="Tahoma" w:eastAsia="宋体" w:hAnsi="Tahoma" w:cs="Tahoma" w:hint="eastAsia"/>
          <w:b/>
          <w:color w:val="000000"/>
          <w:sz w:val="24"/>
          <w:szCs w:val="24"/>
        </w:rPr>
        <w:t>标的资产</w:t>
      </w:r>
    </w:p>
    <w:p w14:paraId="447B6A16" w14:textId="27C1C82B"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标的资产名称：拟报废处置PTA装置相关资产涉及的房屋构筑物及设备类实物资产</w:t>
      </w:r>
    </w:p>
    <w:p w14:paraId="18B68CE7"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本次标的资产的转让底价包含增值税应纳税额，转让方在收到受让方全部转让价款后开具发票（其中受让方为一般纳税人的，可开具13%税率的增值税专用发票，其他均只能开具增值税普通发票）</w:t>
      </w:r>
    </w:p>
    <w:p w14:paraId="0DD50307"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lastRenderedPageBreak/>
        <w:t>上传图片及视频信息仅供参考，买受人提取标的资产时以现场展示实际状态为准。</w:t>
      </w:r>
    </w:p>
    <w:p w14:paraId="7D2CD535" w14:textId="1BD7FBF2" w:rsidR="00632139" w:rsidRDefault="00C60DEF">
      <w:pPr>
        <w:widowControl/>
        <w:adjustRightInd w:val="0"/>
        <w:snapToGrid w:val="0"/>
        <w:spacing w:beforeLines="50" w:before="156" w:afterLines="50" w:after="156"/>
        <w:ind w:firstLineChars="200" w:firstLine="480"/>
        <w:jc w:val="left"/>
        <w:rPr>
          <w:rStyle w:val="jslistingpriceunits"/>
          <w:rFonts w:ascii="Arial" w:hAnsi="Arial" w:cs="Arial"/>
          <w:b/>
          <w:bCs/>
          <w:color w:val="DF603F"/>
          <w:sz w:val="42"/>
          <w:szCs w:val="42"/>
          <w:shd w:val="clear" w:color="auto" w:fill="FFFFFF"/>
        </w:rPr>
      </w:pPr>
      <w:r>
        <w:rPr>
          <w:rFonts w:ascii="宋体" w:eastAsia="宋体" w:hAnsi="宋体" w:cs="Times New Roman" w:hint="eastAsia"/>
          <w:kern w:val="0"/>
          <w:sz w:val="24"/>
          <w:szCs w:val="24"/>
        </w:rPr>
        <w:t>起 拍 价：</w:t>
      </w:r>
      <w:r>
        <w:rPr>
          <w:rFonts w:ascii="宋体" w:hAnsi="宋体" w:hint="eastAsia"/>
          <w:sz w:val="24"/>
        </w:rPr>
        <w:t>7755</w:t>
      </w:r>
      <w:r w:rsidR="00974EE5">
        <w:rPr>
          <w:rFonts w:ascii="宋体" w:hAnsi="宋体" w:hint="eastAsia"/>
          <w:sz w:val="24"/>
        </w:rPr>
        <w:t>.</w:t>
      </w:r>
      <w:r>
        <w:rPr>
          <w:rFonts w:ascii="宋体" w:hAnsi="宋体" w:hint="eastAsia"/>
          <w:sz w:val="24"/>
        </w:rPr>
        <w:t>708</w:t>
      </w:r>
      <w:r w:rsidR="00986AFE">
        <w:rPr>
          <w:rFonts w:ascii="宋体" w:hAnsi="宋体" w:hint="eastAsia"/>
          <w:sz w:val="24"/>
        </w:rPr>
        <w:t>5</w:t>
      </w:r>
      <w:r w:rsidR="00974EE5">
        <w:rPr>
          <w:rFonts w:ascii="宋体" w:hAnsi="宋体" w:hint="eastAsia"/>
          <w:sz w:val="24"/>
        </w:rPr>
        <w:t>万</w:t>
      </w:r>
      <w:r>
        <w:rPr>
          <w:rFonts w:ascii="宋体" w:hAnsi="宋体" w:hint="eastAsia"/>
          <w:sz w:val="24"/>
        </w:rPr>
        <w:t>元</w:t>
      </w:r>
      <w:r w:rsidR="00974EE5">
        <w:rPr>
          <w:rFonts w:ascii="宋体" w:hAnsi="宋体" w:hint="eastAsia"/>
          <w:sz w:val="24"/>
        </w:rPr>
        <w:t>（广东联合产权交易所中心</w:t>
      </w:r>
      <w:r w:rsidR="00DC4E7A">
        <w:rPr>
          <w:rFonts w:ascii="宋体" w:hAnsi="宋体" w:hint="eastAsia"/>
          <w:sz w:val="24"/>
        </w:rPr>
        <w:t>挂牌价</w:t>
      </w:r>
      <w:r w:rsidR="00974EE5" w:rsidRPr="00974EE5">
        <w:rPr>
          <w:rFonts w:ascii="宋体" w:hAnsi="宋体"/>
          <w:b/>
          <w:bCs/>
          <w:sz w:val="24"/>
        </w:rPr>
        <w:t>7755.780498</w:t>
      </w:r>
      <w:r w:rsidR="00974EE5">
        <w:rPr>
          <w:rFonts w:ascii="宋体" w:hAnsi="宋体" w:hint="eastAsia"/>
          <w:b/>
          <w:bCs/>
          <w:sz w:val="24"/>
        </w:rPr>
        <w:t>万元</w:t>
      </w:r>
      <w:r w:rsidR="00974EE5">
        <w:rPr>
          <w:rFonts w:ascii="宋体" w:hAnsi="宋体" w:hint="eastAsia"/>
          <w:sz w:val="24"/>
        </w:rPr>
        <w:t>）</w:t>
      </w:r>
    </w:p>
    <w:p w14:paraId="5475FE56"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报价方式：网络报价</w:t>
      </w:r>
    </w:p>
    <w:p w14:paraId="4DAAFBE3" w14:textId="77777777" w:rsidR="00632139" w:rsidRDefault="00C60DEF">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增加幅度：10万元</w:t>
      </w:r>
    </w:p>
    <w:p w14:paraId="338E1AB8" w14:textId="77777777" w:rsidR="00632139" w:rsidRDefault="00C60DEF">
      <w:pPr>
        <w:ind w:firstLineChars="200" w:firstLine="482"/>
        <w:rPr>
          <w:rFonts w:ascii="宋体" w:eastAsia="宋体" w:hAnsi="宋体" w:cs="Times New Roman" w:hint="eastAsia"/>
          <w:b/>
          <w:sz w:val="24"/>
          <w:szCs w:val="24"/>
        </w:rPr>
      </w:pPr>
      <w:r>
        <w:rPr>
          <w:rFonts w:ascii="宋体" w:eastAsia="宋体" w:hAnsi="宋体" w:cs="Times New Roman"/>
          <w:b/>
          <w:sz w:val="24"/>
          <w:szCs w:val="24"/>
        </w:rPr>
        <w:t>综上所述</w:t>
      </w:r>
      <w:r>
        <w:rPr>
          <w:rFonts w:ascii="宋体" w:eastAsia="宋体" w:hAnsi="宋体" w:cs="Times New Roman" w:hint="eastAsia"/>
          <w:b/>
          <w:sz w:val="24"/>
          <w:szCs w:val="24"/>
        </w:rPr>
        <w:t>，请竞买人谨慎报价。</w:t>
      </w:r>
    </w:p>
    <w:p w14:paraId="6DA3C3DB" w14:textId="77777777" w:rsidR="00632139" w:rsidRDefault="00C60DEF">
      <w:pPr>
        <w:ind w:firstLineChars="200" w:firstLine="480"/>
        <w:rPr>
          <w:rFonts w:ascii="Calibri" w:eastAsia="宋体" w:hAnsi="Calibri" w:cs="Times New Roman"/>
          <w:b/>
          <w:bCs/>
          <w:sz w:val="24"/>
          <w:szCs w:val="24"/>
        </w:rPr>
      </w:pPr>
      <w:r>
        <w:rPr>
          <w:rFonts w:ascii="宋体" w:eastAsia="宋体" w:hAnsi="宋体" w:cs="Times New Roman" w:hint="eastAsia"/>
          <w:sz w:val="24"/>
          <w:szCs w:val="24"/>
        </w:rPr>
        <w:t>竞买人（签字并盖章）：</w:t>
      </w:r>
      <w:bookmarkEnd w:id="1"/>
    </w:p>
    <w:sectPr w:rsidR="006321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DB8C0" w14:textId="77777777" w:rsidR="00C0751E" w:rsidRDefault="00C0751E" w:rsidP="00D2615D">
      <w:r>
        <w:separator/>
      </w:r>
    </w:p>
  </w:endnote>
  <w:endnote w:type="continuationSeparator" w:id="0">
    <w:p w14:paraId="2ADFFA34" w14:textId="77777777" w:rsidR="00C0751E" w:rsidRDefault="00C0751E" w:rsidP="00D2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5EDC" w14:textId="77777777" w:rsidR="00C0751E" w:rsidRDefault="00C0751E" w:rsidP="00D2615D">
      <w:r>
        <w:separator/>
      </w:r>
    </w:p>
  </w:footnote>
  <w:footnote w:type="continuationSeparator" w:id="0">
    <w:p w14:paraId="05E2BC34" w14:textId="77777777" w:rsidR="00C0751E" w:rsidRDefault="00C0751E" w:rsidP="00D26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15EDA"/>
    <w:rsid w:val="00046176"/>
    <w:rsid w:val="00065EF3"/>
    <w:rsid w:val="00121B1D"/>
    <w:rsid w:val="00121BE1"/>
    <w:rsid w:val="00124869"/>
    <w:rsid w:val="0015346A"/>
    <w:rsid w:val="0018080E"/>
    <w:rsid w:val="001A5083"/>
    <w:rsid w:val="001B4713"/>
    <w:rsid w:val="001F1B98"/>
    <w:rsid w:val="001F7E52"/>
    <w:rsid w:val="00214BC1"/>
    <w:rsid w:val="00231EA1"/>
    <w:rsid w:val="0028426A"/>
    <w:rsid w:val="003157C4"/>
    <w:rsid w:val="00353D41"/>
    <w:rsid w:val="003B3063"/>
    <w:rsid w:val="003C082A"/>
    <w:rsid w:val="003D414C"/>
    <w:rsid w:val="003E1586"/>
    <w:rsid w:val="00451B19"/>
    <w:rsid w:val="004741E1"/>
    <w:rsid w:val="00577567"/>
    <w:rsid w:val="00586A10"/>
    <w:rsid w:val="005D17B9"/>
    <w:rsid w:val="0063211E"/>
    <w:rsid w:val="00632139"/>
    <w:rsid w:val="00663E2C"/>
    <w:rsid w:val="006A2216"/>
    <w:rsid w:val="006B6412"/>
    <w:rsid w:val="006B6CE3"/>
    <w:rsid w:val="006D403D"/>
    <w:rsid w:val="0073495D"/>
    <w:rsid w:val="00773CE5"/>
    <w:rsid w:val="007C1E9A"/>
    <w:rsid w:val="007C3F0B"/>
    <w:rsid w:val="007D700F"/>
    <w:rsid w:val="007E54B0"/>
    <w:rsid w:val="007F305C"/>
    <w:rsid w:val="008048A7"/>
    <w:rsid w:val="008148DA"/>
    <w:rsid w:val="00816F49"/>
    <w:rsid w:val="008262E2"/>
    <w:rsid w:val="008A6E94"/>
    <w:rsid w:val="008A7965"/>
    <w:rsid w:val="008C32EE"/>
    <w:rsid w:val="009107CC"/>
    <w:rsid w:val="009205A5"/>
    <w:rsid w:val="00927A01"/>
    <w:rsid w:val="00941110"/>
    <w:rsid w:val="00955AC3"/>
    <w:rsid w:val="00974EE5"/>
    <w:rsid w:val="00983D64"/>
    <w:rsid w:val="00986AFE"/>
    <w:rsid w:val="0099776C"/>
    <w:rsid w:val="009F7BF0"/>
    <w:rsid w:val="00A619AB"/>
    <w:rsid w:val="00A766EB"/>
    <w:rsid w:val="00AB19EE"/>
    <w:rsid w:val="00B06781"/>
    <w:rsid w:val="00B162DE"/>
    <w:rsid w:val="00B46921"/>
    <w:rsid w:val="00BB68B0"/>
    <w:rsid w:val="00BF6E0F"/>
    <w:rsid w:val="00C0644D"/>
    <w:rsid w:val="00C0751E"/>
    <w:rsid w:val="00C134EF"/>
    <w:rsid w:val="00C137FB"/>
    <w:rsid w:val="00C447FD"/>
    <w:rsid w:val="00C60DEF"/>
    <w:rsid w:val="00C87F09"/>
    <w:rsid w:val="00C91D3A"/>
    <w:rsid w:val="00CB4844"/>
    <w:rsid w:val="00CE7CE4"/>
    <w:rsid w:val="00D22924"/>
    <w:rsid w:val="00D2615D"/>
    <w:rsid w:val="00D5280A"/>
    <w:rsid w:val="00D81CF9"/>
    <w:rsid w:val="00D97283"/>
    <w:rsid w:val="00DC4E7A"/>
    <w:rsid w:val="00E1262E"/>
    <w:rsid w:val="00E17DD8"/>
    <w:rsid w:val="00E40CA1"/>
    <w:rsid w:val="00E82F80"/>
    <w:rsid w:val="00E8560F"/>
    <w:rsid w:val="00F02F8B"/>
    <w:rsid w:val="00F42DF6"/>
    <w:rsid w:val="00F67338"/>
    <w:rsid w:val="00FC474C"/>
    <w:rsid w:val="3FFE0C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8555C"/>
  <w15:docId w15:val="{F5B1AF5D-6683-4741-BB45-1C953212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 w:type="character" w:customStyle="1" w:styleId="jslistingpriceunits">
    <w:name w:val="js_listingpriceunits"/>
    <w:basedOn w:val="a0"/>
    <w:qFormat/>
  </w:style>
  <w:style w:type="character" w:customStyle="1" w:styleId="1">
    <w:name w:val="未处理的提及1"/>
    <w:basedOn w:val="a0"/>
    <w:uiPriority w:val="99"/>
    <w:semiHidden/>
    <w:unhideWhenUsed/>
    <w:qFormat/>
    <w:rPr>
      <w:color w:val="605E5C"/>
      <w:shd w:val="clear" w:color="auto" w:fill="E1DFDD"/>
    </w:rPr>
  </w:style>
  <w:style w:type="paragraph" w:customStyle="1" w:styleId="10">
    <w:name w:val="修订1"/>
    <w:hidden/>
    <w:uiPriority w:val="99"/>
    <w:semiHidden/>
    <w:qFormat/>
    <w:rPr>
      <w:kern w:val="2"/>
      <w:sz w:val="21"/>
      <w:szCs w:val="22"/>
    </w:rPr>
  </w:style>
  <w:style w:type="paragraph" w:styleId="a9">
    <w:name w:val="Revision"/>
    <w:hidden/>
    <w:uiPriority w:val="99"/>
    <w:unhideWhenUsed/>
    <w:rsid w:val="00D2615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1</Pages>
  <Words>2049</Words>
  <Characters>2091</Characters>
  <Application>Microsoft Office Word</Application>
  <DocSecurity>0</DocSecurity>
  <Lines>90</Lines>
  <Paragraphs>59</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博宇 孙</cp:lastModifiedBy>
  <cp:revision>15</cp:revision>
  <dcterms:created xsi:type="dcterms:W3CDTF">2024-03-04T09:40:00Z</dcterms:created>
  <dcterms:modified xsi:type="dcterms:W3CDTF">2025-04-23T08:58:00Z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eyJoZGlkIjoiZjFmZWIzNDg2MmIzZjExOTIzMmViNTBmYTMwYTk0ZWYiLCJ1c2VySWQiOiIyNzM3NzkzNTMifQ==</vt:lpwstr>
  </property>
  <property fmtid="{D5CDD505-2E9C-101B-9397-08002B2CF9AE}" pid="3" name="KSOProductBuildVer">
    <vt:lpwstr>2052-12.1.0.20784</vt:lpwstr>
  </property>
  <property fmtid="{D5CDD505-2E9C-101B-9397-08002B2CF9AE}" pid="4" name="ICV">
    <vt:lpwstr>A012E87F6A944C29BACDECE4F97DDC26_13</vt:lpwstr>
  </property>
</Properties>
</file>