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8818">
      <w:pPr>
        <w:pStyle w:val="4"/>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14:paraId="2D802949">
      <w:pPr>
        <w:pStyle w:val="4"/>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14:paraId="6F17843B">
      <w:pPr>
        <w:pStyle w:val="4"/>
        <w:adjustRightInd w:val="0"/>
        <w:snapToGrid w:val="0"/>
        <w:spacing w:before="156" w:beforeLines="50"/>
        <w:rPr>
          <w:rFonts w:ascii="宋体" w:hAnsi="宋体"/>
          <w:b/>
          <w:lang w:eastAsia="zh-CN"/>
        </w:rPr>
      </w:pPr>
      <w:r>
        <w:rPr>
          <w:rFonts w:hint="eastAsia" w:ascii="宋体" w:hAnsi="宋体"/>
          <w:b/>
          <w:lang w:eastAsia="zh-CN"/>
        </w:rPr>
        <w:t>致：广西电力安装有限公司：</w:t>
      </w:r>
    </w:p>
    <w:p w14:paraId="43665E7D">
      <w:pPr>
        <w:pStyle w:val="12"/>
        <w:spacing w:line="240" w:lineRule="auto"/>
        <w:ind w:firstLine="480" w:firstLineChars="200"/>
        <w:rPr>
          <w:rFonts w:ascii="宋体" w:hAnsi="宋体"/>
          <w:b/>
          <w:lang w:eastAsia="zh-CN"/>
        </w:rPr>
      </w:pPr>
      <w:r>
        <w:rPr>
          <w:rFonts w:hint="eastAsia" w:ascii="宋体" w:hAnsi="宋体"/>
          <w:b/>
          <w:lang w:eastAsia="zh-CN"/>
        </w:rPr>
        <w:t>拍拍在线（北京）拍卖有限公司：</w:t>
      </w:r>
    </w:p>
    <w:p w14:paraId="518B41B8">
      <w:pPr>
        <w:pStyle w:val="13"/>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现申请参加名称广西电力安装有限公司科兴路2号制造厂废旧物资材料一批（以下简称“标的资产”）网络竞价活动，声明同意如下：</w:t>
      </w:r>
    </w:p>
    <w:p w14:paraId="6E5674A2">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14:paraId="13217518">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651B7B95">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14:paraId="03F59B45">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14:paraId="7D8684C2">
      <w:pPr>
        <w:pStyle w:val="22"/>
        <w:jc w:val="center"/>
        <w:rPr>
          <w:rFonts w:ascii="Tahoma" w:hAnsi="Tahoma" w:cs="Tahoma"/>
          <w:b/>
          <w:color w:val="000000"/>
          <w:sz w:val="32"/>
          <w:szCs w:val="32"/>
        </w:rPr>
      </w:pPr>
      <w:bookmarkStart w:id="1" w:name="_Toc487410356"/>
    </w:p>
    <w:p w14:paraId="48D1A746">
      <w:pPr>
        <w:pStyle w:val="22"/>
        <w:jc w:val="center"/>
        <w:rPr>
          <w:rFonts w:ascii="Tahoma" w:hAnsi="Tahoma" w:cs="Tahoma"/>
          <w:b/>
          <w:color w:val="000000"/>
          <w:sz w:val="32"/>
          <w:szCs w:val="32"/>
        </w:rPr>
      </w:pPr>
    </w:p>
    <w:p w14:paraId="532B67A0">
      <w:pPr>
        <w:pStyle w:val="22"/>
        <w:jc w:val="center"/>
        <w:rPr>
          <w:rFonts w:ascii="Tahoma" w:hAnsi="Tahoma" w:cs="Tahoma"/>
          <w:b/>
          <w:color w:val="000000"/>
          <w:sz w:val="24"/>
          <w:szCs w:val="24"/>
        </w:rPr>
      </w:pPr>
      <w:r>
        <w:rPr>
          <w:rFonts w:hint="eastAsia" w:ascii="Tahoma" w:hAnsi="Tahoma" w:cs="Tahoma"/>
          <w:b/>
          <w:color w:val="000000"/>
          <w:sz w:val="24"/>
          <w:szCs w:val="24"/>
        </w:rPr>
        <w:t>竞买规则及须知</w:t>
      </w:r>
    </w:p>
    <w:p w14:paraId="073362F0">
      <w:pPr>
        <w:widowControl/>
        <w:spacing w:before="100" w:beforeAutospacing="1" w:after="100" w:afterAutospacing="1"/>
        <w:ind w:firstLine="300" w:firstLineChars="200"/>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本公</w:t>
      </w:r>
      <w:r>
        <w:rPr>
          <w:rFonts w:hint="eastAsia" w:ascii="Times New Roman" w:hAnsi="Times New Roman" w:eastAsia="宋体" w:cs="Times New Roman"/>
          <w:sz w:val="15"/>
          <w:szCs w:val="15"/>
          <w:lang w:val="en-US" w:eastAsia="zh-CN"/>
        </w:rPr>
        <w:t>司受委托人:广西电力安装有限公司委托在</w:t>
      </w:r>
      <w:r>
        <w:rPr>
          <w:rFonts w:hint="eastAsia" w:ascii="Times New Roman" w:hAnsi="Times New Roman" w:eastAsia="宋体" w:cs="Times New Roman"/>
          <w:sz w:val="15"/>
          <w:szCs w:val="15"/>
          <w:lang w:val="en-US" w:eastAsia="zh-CN"/>
        </w:rPr>
        <w:fldChar w:fldCharType="begin"/>
      </w:r>
      <w:r>
        <w:rPr>
          <w:rFonts w:hint="eastAsia" w:ascii="Times New Roman" w:hAnsi="Times New Roman" w:eastAsia="宋体" w:cs="Times New Roman"/>
          <w:sz w:val="15"/>
          <w:szCs w:val="15"/>
          <w:lang w:val="en-US" w:eastAsia="zh-CN"/>
        </w:rPr>
        <w:instrText xml:space="preserve"> HYPERLINK "http://www.ppzxchina.cn" </w:instrText>
      </w:r>
      <w:r>
        <w:rPr>
          <w:rFonts w:hint="eastAsia" w:ascii="Times New Roman" w:hAnsi="Times New Roman" w:eastAsia="宋体" w:cs="Times New Roman"/>
          <w:sz w:val="15"/>
          <w:szCs w:val="15"/>
          <w:lang w:val="en-US" w:eastAsia="zh-CN"/>
        </w:rPr>
        <w:fldChar w:fldCharType="separate"/>
      </w:r>
      <w:r>
        <w:rPr>
          <w:rFonts w:hint="eastAsia" w:ascii="Times New Roman" w:hAnsi="Times New Roman" w:eastAsia="宋体" w:cs="Times New Roman"/>
          <w:sz w:val="15"/>
          <w:szCs w:val="15"/>
          <w:lang w:val="en-US" w:eastAsia="zh-CN"/>
        </w:rPr>
        <w:t>http://www.ppzxchina.cn</w:t>
      </w:r>
      <w:r>
        <w:rPr>
          <w:rFonts w:hint="eastAsia" w:ascii="Times New Roman" w:hAnsi="Times New Roman" w:eastAsia="宋体" w:cs="Times New Roman"/>
          <w:sz w:val="15"/>
          <w:szCs w:val="15"/>
          <w:lang w:val="en-US" w:eastAsia="zh-CN"/>
        </w:rPr>
        <w:fldChar w:fldCharType="end"/>
      </w:r>
      <w:r>
        <w:rPr>
          <w:rFonts w:hint="eastAsia" w:ascii="Times New Roman" w:hAnsi="Times New Roman" w:eastAsia="宋体" w:cs="Times New Roman"/>
          <w:sz w:val="15"/>
          <w:szCs w:val="15"/>
          <w:lang w:val="en-US" w:eastAsia="zh-CN"/>
        </w:rPr>
        <w:t>以网络竞价方式处置广西电力安装有限公司科兴路2号制造厂废旧物资材料一批，为切实保障拍卖当事人的权利和义务，根据《中华人民共和国民法典》、《中华人民共和国拍卖法》、《中国人民共和国电子商务法》</w:t>
      </w:r>
      <w:r>
        <w:rPr>
          <w:rFonts w:hint="eastAsia" w:ascii="Times New Roman" w:hAnsi="Times New Roman" w:eastAsia="宋体" w:cs="Times New Roman"/>
          <w:sz w:val="15"/>
          <w:szCs w:val="15"/>
        </w:rPr>
        <w:t xml:space="preserve">等法律法规，本着公开、公平、公正、诚实信用的原则，特制定本须知及规则，共同遵守。 </w:t>
      </w:r>
    </w:p>
    <w:p w14:paraId="6B8B22BC">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1、本次网络竞价活动在公开、平等竞争的条件下进行，一切活动都具备法律效力。</w:t>
      </w:r>
    </w:p>
    <w:p w14:paraId="4D2009BF">
      <w:pPr>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2、竞买人条件：具备完全民事行为能力企业法人或自然人。</w:t>
      </w:r>
    </w:p>
    <w:p w14:paraId="594EC62E">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3、意向竞买人在2025年2月10日12时前通过微信方式（微信号：13520313174）提出踏勘申请，收到拍拍在线（北京）拍卖有限公司回函后按规定的预展时间和要求进行现场踏勘。</w:t>
      </w:r>
    </w:p>
    <w:p w14:paraId="0C74FA32">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4、意向竞买人取得有效的《现场踏勘确认书》后，对标的资产有异议的，应在申请竞买前提出。竞买人报名参加竞买的，视为无异议，也即表明竞买人已全部了解约定，并愿意履行约定。委托人不作任何瑕疵担保及保证。</w:t>
      </w:r>
    </w:p>
    <w:p w14:paraId="1E4F2867">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5、意向竞买人在2025年2月12日17时前完成：账号注册；上传真实有效审验通过相关要求资质证明、踏勘确认书、竞买文件，在相应竞价页面点击报名交保证金（已到账时间为准）；通过在线方式支付10万元竞买保证金获得竞买资格。</w:t>
      </w:r>
    </w:p>
    <w:p w14:paraId="032A51CC">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6、买受人支付10万保证金，成交后10万元保证金自动转为履约保证金，在买受人提取完标的后签署《移交确认书》后返还。</w:t>
      </w:r>
    </w:p>
    <w:p w14:paraId="1000AABE">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7、竞价过程中，竞买人要认真严肃地进行报价并为自己的报价行为付相应的法律责任。</w:t>
      </w:r>
    </w:p>
    <w:p w14:paraId="53ABE206">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8、意向竞买人在限时报价期间可自由出价，进入延时报价区间后，有任意竞买人出价，时间顺延一个延时周期，在新的延时周期内没有更高出价，当前最高出价的竞买人成为本项目的买受人。</w:t>
      </w:r>
    </w:p>
    <w:p w14:paraId="099AFE3C">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9、买受人作违约处置的，其所交保证金全部扣除，标的资产收回再行处置，按《中华人民共和国拍卖法》等有关规定承担赔偿责任（包括但不限于该标的最终成交价款与本次竞价成交价格之间的差价及因此产生的相关费用，委托人有权从买受人履约保证金中直接扣除）。</w:t>
      </w:r>
    </w:p>
    <w:p w14:paraId="332D00BA">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10、交易服务费按成交价的5%支付，交易服务费及全部成交价款在标的成交后3个工作日，通过自身账户支付至拍拍在线（北京）拍卖有限公司（以成交后短信通知的账户为准）。</w:t>
      </w:r>
    </w:p>
    <w:p w14:paraId="41B6B29C">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11、竞价结束后，未竞买成功的竞买人的保证金在竞价结束后自动自动解冻，可用于参与其他项目或申请退还至竞买人自身对公账户，个人账户中可用余额在提出申请后10个工作日内无息返还；买受人交纳的保证金冻结转为履约保证金的，在标的按照规定移交完毕后1个工作日将10万元履约保证金解冻退还至买受人自身对公账户。</w:t>
      </w:r>
    </w:p>
    <w:p w14:paraId="680DC68C">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12、委托人有权在竞价开始前依法撤回标的资产，若因委托人撤拍或遇不可抗拒因素和其他特殊的重要原因，委托人有权取消或推迟本次网络竞价活动，由此对竞买人造成的损失由竞买人自负，竞买人不得向委托人追索保证金利息及其他任何费用与责任。</w:t>
      </w:r>
    </w:p>
    <w:p w14:paraId="26CFDF96">
      <w:pPr>
        <w:rPr>
          <w:rFonts w:hint="eastAsia" w:ascii="Times New Roman" w:hAnsi="Times New Roman" w:eastAsia="宋体" w:cs="Times New Roman"/>
          <w:sz w:val="15"/>
          <w:szCs w:val="15"/>
          <w:lang w:val="en-US" w:eastAsia="zh-CN"/>
        </w:rPr>
      </w:pPr>
    </w:p>
    <w:p w14:paraId="27244F81">
      <w:pPr>
        <w:rPr>
          <w:rFonts w:hint="eastAsia" w:ascii="宋体" w:hAnsi="宋体"/>
          <w:sz w:val="15"/>
          <w:szCs w:val="15"/>
        </w:rPr>
      </w:pPr>
    </w:p>
    <w:p w14:paraId="2CC88A4E">
      <w:pPr>
        <w:pStyle w:val="22"/>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14:paraId="6FFB8579">
      <w:pPr>
        <w:ind w:left="210" w:leftChars="100" w:firstLine="150" w:firstLineChars="100"/>
        <w:rPr>
          <w:rFonts w:hint="eastAsia" w:ascii="宋体" w:hAnsi="宋体"/>
          <w:sz w:val="15"/>
          <w:szCs w:val="15"/>
          <w:lang w:val="en-US" w:eastAsia="zh-CN"/>
        </w:rPr>
      </w:pPr>
      <w:r>
        <w:rPr>
          <w:rFonts w:hint="eastAsia" w:ascii="宋体" w:hAnsi="宋体"/>
          <w:sz w:val="15"/>
          <w:szCs w:val="15"/>
          <w:lang w:val="en-US" w:eastAsia="zh-CN"/>
        </w:rPr>
        <w:t>1、标的资产均已不能使用，数量，种类、规格、品质、型号均以现场实物展示为准，委托人对该标的资产存在的瑕疵已履行告知义务，竞买人应自行充分考虑竞得标的资产所承担的所有风险。本公司及委托方均不承担瑕疵担保责任。</w:t>
      </w:r>
    </w:p>
    <w:p w14:paraId="54AC877C">
      <w:pPr>
        <w:ind w:left="210" w:leftChars="100" w:firstLine="150" w:firstLineChars="100"/>
        <w:rPr>
          <w:rFonts w:hint="eastAsia" w:ascii="宋体" w:hAnsi="宋体"/>
          <w:sz w:val="15"/>
          <w:szCs w:val="15"/>
          <w:lang w:val="en-US" w:eastAsia="zh-CN"/>
        </w:rPr>
      </w:pPr>
      <w:r>
        <w:rPr>
          <w:rFonts w:hint="eastAsia" w:ascii="宋体" w:hAnsi="宋体"/>
          <w:sz w:val="15"/>
          <w:szCs w:val="15"/>
          <w:lang w:val="en-US" w:eastAsia="zh-CN"/>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7AF5D2B2">
      <w:pPr>
        <w:ind w:left="210" w:leftChars="100" w:firstLine="150" w:firstLineChars="100"/>
        <w:rPr>
          <w:rFonts w:hint="eastAsia" w:ascii="宋体" w:hAnsi="宋体"/>
          <w:b/>
          <w:bCs/>
          <w:sz w:val="24"/>
          <w:szCs w:val="24"/>
        </w:rPr>
      </w:pPr>
      <w:r>
        <w:rPr>
          <w:rFonts w:hint="eastAsia" w:ascii="宋体" w:hAnsi="宋体"/>
          <w:sz w:val="15"/>
          <w:szCs w:val="15"/>
          <w:lang w:val="en-US" w:eastAsia="zh-CN"/>
        </w:rPr>
        <w:t>3、竞买人报名时需上传双方盖章签字的有效《现场踏勘确认书》《竞买文件》。</w:t>
      </w:r>
    </w:p>
    <w:p w14:paraId="55121053">
      <w:pPr>
        <w:ind w:left="210" w:leftChars="100" w:firstLine="240" w:firstLineChars="100"/>
        <w:jc w:val="center"/>
        <w:rPr>
          <w:rFonts w:hint="eastAsia" w:ascii="宋体" w:hAnsi="宋体"/>
          <w:b/>
          <w:bCs/>
          <w:sz w:val="24"/>
          <w:szCs w:val="24"/>
        </w:rPr>
      </w:pPr>
    </w:p>
    <w:p w14:paraId="3DD8A974">
      <w:pPr>
        <w:ind w:left="210" w:leftChars="100" w:firstLine="240" w:firstLineChars="100"/>
        <w:jc w:val="center"/>
        <w:rPr>
          <w:rFonts w:hint="eastAsia" w:ascii="宋体" w:hAnsi="宋体"/>
          <w:b/>
          <w:bCs/>
          <w:sz w:val="24"/>
          <w:szCs w:val="24"/>
        </w:rPr>
      </w:pPr>
      <w:r>
        <w:rPr>
          <w:rFonts w:hint="eastAsia" w:ascii="宋体" w:hAnsi="宋体"/>
          <w:b/>
          <w:bCs/>
          <w:sz w:val="24"/>
          <w:szCs w:val="24"/>
        </w:rPr>
        <w:t>标的资产</w:t>
      </w:r>
    </w:p>
    <w:p w14:paraId="3746EA21">
      <w:pPr>
        <w:ind w:left="210" w:leftChars="100" w:firstLine="240" w:firstLineChars="100"/>
        <w:rPr>
          <w:rFonts w:hint="eastAsia" w:ascii="宋体" w:hAnsi="宋体"/>
          <w:sz w:val="24"/>
          <w:szCs w:val="24"/>
        </w:rPr>
      </w:pPr>
    </w:p>
    <w:p w14:paraId="032D6F71">
      <w:pPr>
        <w:pStyle w:val="22"/>
        <w:rPr>
          <w:rFonts w:hint="eastAsia" w:ascii="宋体" w:hAnsi="宋体"/>
          <w:sz w:val="24"/>
          <w:szCs w:val="24"/>
          <w:lang w:eastAsia="zh-CN"/>
        </w:rPr>
      </w:pPr>
      <w:r>
        <w:rPr>
          <w:rFonts w:hint="eastAsia" w:ascii="宋体" w:hAnsi="宋体"/>
          <w:sz w:val="24"/>
          <w:szCs w:val="24"/>
          <w:lang w:eastAsia="zh-CN"/>
        </w:rPr>
        <w:t>标的名称：广西电力安装有限公司科兴路2号制造厂废旧物资材料一批</w:t>
      </w:r>
    </w:p>
    <w:p w14:paraId="7E471E52">
      <w:pPr>
        <w:pStyle w:val="22"/>
        <w:ind w:firstLine="480" w:firstLineChars="200"/>
        <w:rPr>
          <w:rFonts w:hint="eastAsia" w:ascii="宋体" w:hAnsi="宋体"/>
          <w:sz w:val="24"/>
          <w:szCs w:val="24"/>
          <w:lang w:eastAsia="zh-CN"/>
        </w:rPr>
      </w:pPr>
      <w:r>
        <w:rPr>
          <w:rFonts w:hint="eastAsia" w:ascii="宋体" w:hAnsi="宋体"/>
          <w:sz w:val="24"/>
          <w:szCs w:val="24"/>
          <w:lang w:eastAsia="zh-CN"/>
        </w:rPr>
        <w:t>本次拍卖标的一切均已现场踏勘展示为准。</w:t>
      </w:r>
    </w:p>
    <w:p w14:paraId="0D8B0AFF">
      <w:pPr>
        <w:pStyle w:val="22"/>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14:paraId="620B322C">
      <w:pPr>
        <w:pStyle w:val="22"/>
        <w:ind w:firstLine="480" w:firstLineChars="200"/>
        <w:rPr>
          <w:rFonts w:hint="eastAsia" w:ascii="宋体" w:hAnsi="宋体"/>
          <w:sz w:val="24"/>
          <w:szCs w:val="24"/>
          <w:lang w:eastAsia="zh-CN"/>
        </w:rPr>
      </w:pPr>
      <w:r>
        <w:rPr>
          <w:rFonts w:hint="eastAsia" w:ascii="宋体" w:hAnsi="宋体"/>
          <w:sz w:val="24"/>
          <w:szCs w:val="24"/>
          <w:lang w:eastAsia="zh-CN"/>
        </w:rPr>
        <w:t>起拍价格：</w:t>
      </w:r>
      <w:r>
        <w:rPr>
          <w:rFonts w:hint="eastAsia" w:ascii="宋体" w:hAnsi="宋体"/>
          <w:sz w:val="24"/>
          <w:szCs w:val="24"/>
          <w:lang w:val="en-US" w:eastAsia="zh-CN"/>
        </w:rPr>
        <w:t>4411</w:t>
      </w:r>
      <w:bookmarkStart w:id="2" w:name="_GoBack"/>
      <w:bookmarkEnd w:id="2"/>
      <w:r>
        <w:rPr>
          <w:rFonts w:hint="eastAsia" w:ascii="宋体" w:hAnsi="宋体"/>
          <w:sz w:val="24"/>
          <w:szCs w:val="24"/>
          <w:lang w:val="en-US" w:eastAsia="zh-CN"/>
        </w:rPr>
        <w:t>0</w:t>
      </w:r>
      <w:r>
        <w:rPr>
          <w:rFonts w:hint="eastAsia" w:ascii="宋体" w:hAnsi="宋体"/>
          <w:sz w:val="24"/>
          <w:szCs w:val="24"/>
          <w:lang w:eastAsia="zh-CN"/>
        </w:rPr>
        <w:t>0元</w:t>
      </w:r>
    </w:p>
    <w:p w14:paraId="50BC75DD">
      <w:pPr>
        <w:pStyle w:val="22"/>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14:paraId="01DC8CA7">
      <w:pPr>
        <w:pStyle w:val="22"/>
        <w:ind w:firstLine="480" w:firstLineChars="200"/>
        <w:rPr>
          <w:rFonts w:hint="eastAsia" w:ascii="宋体" w:hAnsi="宋体"/>
          <w:sz w:val="24"/>
          <w:szCs w:val="24"/>
          <w:lang w:eastAsia="zh-CN"/>
        </w:rPr>
      </w:pPr>
      <w:r>
        <w:rPr>
          <w:rFonts w:hint="eastAsia" w:ascii="宋体" w:hAnsi="宋体"/>
          <w:sz w:val="24"/>
          <w:szCs w:val="24"/>
          <w:lang w:eastAsia="zh-CN"/>
        </w:rPr>
        <w:t>增加幅度：</w:t>
      </w:r>
      <w:r>
        <w:rPr>
          <w:rFonts w:hint="eastAsia" w:ascii="宋体" w:hAnsi="宋体"/>
          <w:sz w:val="24"/>
          <w:szCs w:val="24"/>
          <w:lang w:val="en-US" w:eastAsia="zh-CN"/>
        </w:rPr>
        <w:t>1000</w:t>
      </w:r>
      <w:r>
        <w:rPr>
          <w:rFonts w:hint="eastAsia" w:ascii="宋体" w:hAnsi="宋体"/>
          <w:sz w:val="24"/>
          <w:szCs w:val="24"/>
          <w:lang w:eastAsia="zh-CN"/>
        </w:rPr>
        <w:t>元</w:t>
      </w:r>
    </w:p>
    <w:p w14:paraId="71DC8759">
      <w:pPr>
        <w:pStyle w:val="22"/>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14:paraId="022E383A">
      <w:pPr>
        <w:pStyle w:val="22"/>
        <w:ind w:firstLine="480" w:firstLineChars="200"/>
        <w:rPr>
          <w:rFonts w:hint="eastAsia" w:ascii="宋体" w:hAnsi="宋体"/>
          <w:sz w:val="24"/>
          <w:szCs w:val="24"/>
        </w:rPr>
      </w:pPr>
    </w:p>
    <w:p w14:paraId="54ED8C43">
      <w:pPr>
        <w:pStyle w:val="22"/>
        <w:ind w:firstLine="480" w:firstLineChars="200"/>
        <w:rPr>
          <w:sz w:val="28"/>
          <w:szCs w:val="28"/>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F5CE">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k5ODM0YmMxOWJiYWQyNDU4MGIzYWRmYTA0ZmI5NDc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89B4FF8"/>
    <w:rsid w:val="10347421"/>
    <w:rsid w:val="130E493C"/>
    <w:rsid w:val="13780452"/>
    <w:rsid w:val="14247E3D"/>
    <w:rsid w:val="182E2883"/>
    <w:rsid w:val="1DE02AD1"/>
    <w:rsid w:val="1E873F2F"/>
    <w:rsid w:val="20686DF8"/>
    <w:rsid w:val="20D30683"/>
    <w:rsid w:val="32DF3FE8"/>
    <w:rsid w:val="3CC710D9"/>
    <w:rsid w:val="3F6C3A77"/>
    <w:rsid w:val="3FAE115C"/>
    <w:rsid w:val="3FDE3BA6"/>
    <w:rsid w:val="43E97F58"/>
    <w:rsid w:val="44AF2919"/>
    <w:rsid w:val="460E4436"/>
    <w:rsid w:val="47F30C36"/>
    <w:rsid w:val="486A56DB"/>
    <w:rsid w:val="4D992597"/>
    <w:rsid w:val="4F502160"/>
    <w:rsid w:val="4F924B1D"/>
    <w:rsid w:val="546D086C"/>
    <w:rsid w:val="55716C5C"/>
    <w:rsid w:val="55A3228E"/>
    <w:rsid w:val="55F46CCD"/>
    <w:rsid w:val="590A53FF"/>
    <w:rsid w:val="5A043ADB"/>
    <w:rsid w:val="5C5B6749"/>
    <w:rsid w:val="6A641506"/>
    <w:rsid w:val="793E4D26"/>
    <w:rsid w:val="7D425FE1"/>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ind w:firstLine="420" w:firstLineChars="200"/>
      <w:jc w:val="left"/>
    </w:pPr>
    <w:rPr>
      <w:kern w:val="0"/>
      <w:sz w:val="20"/>
      <w:szCs w:val="20"/>
    </w:rPr>
  </w:style>
  <w:style w:type="paragraph" w:styleId="4">
    <w:name w:val="Body Text"/>
    <w:basedOn w:val="1"/>
    <w:link w:val="23"/>
    <w:autoRedefine/>
    <w:qFormat/>
    <w:uiPriority w:val="99"/>
    <w:pPr>
      <w:widowControl/>
      <w:spacing w:after="120"/>
      <w:jc w:val="left"/>
    </w:pPr>
    <w:rPr>
      <w:kern w:val="0"/>
      <w:sz w:val="24"/>
      <w:szCs w:val="24"/>
      <w:lang w:eastAsia="en-US"/>
    </w:rPr>
  </w:style>
  <w:style w:type="paragraph" w:styleId="5">
    <w:name w:val="Body Text Indent"/>
    <w:basedOn w:val="1"/>
    <w:link w:val="28"/>
    <w:autoRedefine/>
    <w:unhideWhenUsed/>
    <w:qFormat/>
    <w:uiPriority w:val="99"/>
    <w:pPr>
      <w:spacing w:after="120"/>
      <w:ind w:left="420" w:leftChars="200"/>
    </w:pPr>
  </w:style>
  <w:style w:type="paragraph" w:styleId="6">
    <w:name w:val="Plain Text"/>
    <w:basedOn w:val="1"/>
    <w:link w:val="31"/>
    <w:autoRedefine/>
    <w:qFormat/>
    <w:uiPriority w:val="0"/>
    <w:rPr>
      <w:rFonts w:ascii="宋体" w:hAnsi="Courier New" w:eastAsia="宋体" w:cs="Times New Roman"/>
      <w:kern w:val="0"/>
      <w:sz w:val="20"/>
      <w:szCs w:val="21"/>
    </w:rPr>
  </w:style>
  <w:style w:type="paragraph" w:styleId="7">
    <w:name w:val="Balloon Text"/>
    <w:basedOn w:val="1"/>
    <w:link w:val="29"/>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2">
    <w:name w:val="Body Text 2"/>
    <w:basedOn w:val="1"/>
    <w:link w:val="25"/>
    <w:autoRedefine/>
    <w:qFormat/>
    <w:uiPriority w:val="99"/>
    <w:pPr>
      <w:widowControl/>
      <w:spacing w:after="120" w:line="480" w:lineRule="auto"/>
      <w:jc w:val="left"/>
    </w:pPr>
    <w:rPr>
      <w:kern w:val="0"/>
      <w:sz w:val="24"/>
      <w:szCs w:val="24"/>
      <w:lang w:eastAsia="en-US"/>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autoRedefine/>
    <w:qFormat/>
    <w:uiPriority w:val="22"/>
    <w:rPr>
      <w:b/>
      <w:bCs/>
    </w:rPr>
  </w:style>
  <w:style w:type="character" w:styleId="17">
    <w:name w:val="line number"/>
    <w:basedOn w:val="15"/>
    <w:autoRedefine/>
    <w:unhideWhenUsed/>
    <w:qFormat/>
    <w:uiPriority w:val="99"/>
  </w:style>
  <w:style w:type="character" w:styleId="18">
    <w:name w:val="Hyperlink"/>
    <w:autoRedefine/>
    <w:qFormat/>
    <w:uiPriority w:val="99"/>
    <w:rPr>
      <w:color w:val="0000FF"/>
      <w:u w:val="single"/>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99"/>
    <w:rPr>
      <w:sz w:val="18"/>
      <w:szCs w:val="18"/>
    </w:rPr>
  </w:style>
  <w:style w:type="paragraph" w:customStyle="1" w:styleId="21">
    <w:name w:val="列出段落1"/>
    <w:basedOn w:val="1"/>
    <w:autoRedefine/>
    <w:qFormat/>
    <w:uiPriority w:val="34"/>
    <w:pPr>
      <w:ind w:firstLine="420" w:firstLineChars="200"/>
    </w:pPr>
  </w:style>
  <w:style w:type="paragraph" w:customStyle="1" w:styleId="22">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正文文本 字符"/>
    <w:link w:val="4"/>
    <w:autoRedefine/>
    <w:qFormat/>
    <w:uiPriority w:val="99"/>
    <w:rPr>
      <w:kern w:val="0"/>
      <w:sz w:val="24"/>
      <w:szCs w:val="24"/>
      <w:lang w:eastAsia="en-US"/>
    </w:rPr>
  </w:style>
  <w:style w:type="character" w:customStyle="1" w:styleId="24">
    <w:name w:val="正文文本 Char1"/>
    <w:basedOn w:val="15"/>
    <w:autoRedefine/>
    <w:semiHidden/>
    <w:qFormat/>
    <w:uiPriority w:val="99"/>
  </w:style>
  <w:style w:type="character" w:customStyle="1" w:styleId="25">
    <w:name w:val="正文文本 2 字符"/>
    <w:link w:val="12"/>
    <w:autoRedefine/>
    <w:qFormat/>
    <w:uiPriority w:val="99"/>
    <w:rPr>
      <w:kern w:val="0"/>
      <w:sz w:val="24"/>
      <w:szCs w:val="24"/>
      <w:lang w:eastAsia="en-US"/>
    </w:rPr>
  </w:style>
  <w:style w:type="character" w:customStyle="1" w:styleId="26">
    <w:name w:val="正文文本 2 Char1"/>
    <w:basedOn w:val="15"/>
    <w:autoRedefine/>
    <w:semiHidden/>
    <w:qFormat/>
    <w:uiPriority w:val="99"/>
  </w:style>
  <w:style w:type="character" w:customStyle="1" w:styleId="27">
    <w:name w:val="标题 2 字符"/>
    <w:basedOn w:val="15"/>
    <w:link w:val="2"/>
    <w:autoRedefine/>
    <w:qFormat/>
    <w:uiPriority w:val="99"/>
    <w:rPr>
      <w:rFonts w:ascii="Cambria" w:hAnsi="Cambria" w:eastAsia="宋体" w:cs="Times New Roman"/>
      <w:b/>
      <w:bCs/>
      <w:i/>
      <w:iCs/>
      <w:kern w:val="0"/>
      <w:sz w:val="28"/>
      <w:szCs w:val="28"/>
    </w:rPr>
  </w:style>
  <w:style w:type="character" w:customStyle="1" w:styleId="28">
    <w:name w:val="正文文本缩进 字符"/>
    <w:basedOn w:val="15"/>
    <w:link w:val="5"/>
    <w:autoRedefine/>
    <w:semiHidden/>
    <w:qFormat/>
    <w:uiPriority w:val="99"/>
  </w:style>
  <w:style w:type="character" w:customStyle="1" w:styleId="29">
    <w:name w:val="批注框文本 字符"/>
    <w:basedOn w:val="15"/>
    <w:link w:val="7"/>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character" w:customStyle="1" w:styleId="31">
    <w:name w:val="纯文本 字符"/>
    <w:basedOn w:val="15"/>
    <w:link w:val="6"/>
    <w:autoRedefine/>
    <w:qFormat/>
    <w:uiPriority w:val="0"/>
    <w:rPr>
      <w:rFonts w:ascii="宋体" w:hAnsi="Courier New" w:eastAsia="宋体" w:cs="Times New Roman"/>
      <w:szCs w:val="21"/>
    </w:rPr>
  </w:style>
  <w:style w:type="paragraph" w:customStyle="1" w:styleId="32">
    <w:name w:val="彩色列表1"/>
    <w:basedOn w:val="1"/>
    <w:autoRedefine/>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1935</Words>
  <Characters>2005</Characters>
  <Lines>17</Lines>
  <Paragraphs>5</Paragraphs>
  <TotalTime>1</TotalTime>
  <ScaleCrop>false</ScaleCrop>
  <LinksUpToDate>false</LinksUpToDate>
  <CharactersWithSpaces>2006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谭政君</cp:lastModifiedBy>
  <cp:lastPrinted>2022-06-29T09:41:00Z</cp:lastPrinted>
  <dcterms:modified xsi:type="dcterms:W3CDTF">2025-02-05T02:26:38Z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A911030420BF43CF91F35589E11D8348</vt:lpwstr>
  </property>
  <property fmtid="{D5CDD505-2E9C-101B-9397-08002B2CF9AE}" pid="4" name="KSOTemplateDocerSaveRecord">
    <vt:lpwstr>eyJoZGlkIjoiZTA4NzIyN2MxYTlmMzQ1NGE2MjU5NWRkMjhlOGMxYTAiLCJ1c2VySWQiOiIxMDE1ODkxMjc0In0=</vt:lpwstr>
  </property>
</Properties>
</file>